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9D1" w:rsidRDefault="008009D1" w:rsidP="008009D1">
      <w:pPr>
        <w:pStyle w:val="FrontPageTitle"/>
      </w:pPr>
    </w:p>
    <w:p w:rsidR="008009D1" w:rsidRDefault="008009D1" w:rsidP="008009D1">
      <w:pPr>
        <w:pStyle w:val="FrontPageTitle"/>
      </w:pPr>
    </w:p>
    <w:p w:rsidR="008009D1" w:rsidRPr="00EB3A24" w:rsidRDefault="008009D1" w:rsidP="008009D1">
      <w:pPr>
        <w:pStyle w:val="FrontPageTitle"/>
      </w:pPr>
      <w:r w:rsidRPr="00EB3A24">
        <w:t xml:space="preserve">SCOTTISH CAPITAL </w:t>
      </w:r>
    </w:p>
    <w:p w:rsidR="008009D1" w:rsidRDefault="008009D1" w:rsidP="008009D1">
      <w:pPr>
        <w:pStyle w:val="FrontPageTitle"/>
      </w:pPr>
      <w:r w:rsidRPr="00EB3A24">
        <w:t>INVESTMENT MANUAL</w:t>
      </w:r>
    </w:p>
    <w:p w:rsidR="008009D1" w:rsidRDefault="008009D1" w:rsidP="008009D1">
      <w:pPr>
        <w:pStyle w:val="FrontPageTitle"/>
      </w:pPr>
    </w:p>
    <w:p w:rsidR="008009D1" w:rsidRDefault="00603EA9" w:rsidP="008009D1">
      <w:pPr>
        <w:pStyle w:val="FrontPageTitle"/>
      </w:pPr>
      <w:r>
        <w:t>Outline Business Case</w:t>
      </w:r>
    </w:p>
    <w:p w:rsidR="00CC4B9F" w:rsidRDefault="00CC4B9F" w:rsidP="008009D1">
      <w:pPr>
        <w:pStyle w:val="FrontPageTitle"/>
      </w:pPr>
    </w:p>
    <w:p w:rsidR="002D22F1" w:rsidRPr="002D22F1" w:rsidRDefault="007049C1" w:rsidP="002D22F1">
      <w:pPr>
        <w:pStyle w:val="FrontPageTitle"/>
        <w:jc w:val="center"/>
        <w:rPr>
          <w:color w:val="FF0000"/>
        </w:rPr>
      </w:pPr>
      <w:r w:rsidRPr="007049C1">
        <w:rPr>
          <w:noProof/>
          <w:lang w:eastAsia="en-GB"/>
        </w:rPr>
        <w:drawing>
          <wp:inline distT="0" distB="0" distL="0" distR="0">
            <wp:extent cx="3967480" cy="3514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967480" cy="3514725"/>
                    </a:xfrm>
                    <a:prstGeom prst="rect">
                      <a:avLst/>
                    </a:prstGeom>
                    <a:noFill/>
                    <a:ln w="9525">
                      <a:noFill/>
                      <a:miter lim="800000"/>
                      <a:headEnd/>
                      <a:tailEnd/>
                    </a:ln>
                  </pic:spPr>
                </pic:pic>
              </a:graphicData>
            </a:graphic>
          </wp:inline>
        </w:drawing>
      </w:r>
    </w:p>
    <w:p w:rsidR="008009D1" w:rsidRDefault="008009D1" w:rsidP="008009D1">
      <w:pPr>
        <w:pStyle w:val="Headings3"/>
        <w:sectPr w:rsidR="008009D1" w:rsidSect="008C2D9B">
          <w:footerReference w:type="default" r:id="rId9"/>
          <w:pgSz w:w="11906" w:h="16838"/>
          <w:pgMar w:top="1440" w:right="1440" w:bottom="1440" w:left="1440" w:header="708" w:footer="708" w:gutter="0"/>
          <w:cols w:space="708"/>
          <w:docGrid w:linePitch="360"/>
        </w:sectPr>
      </w:pPr>
    </w:p>
    <w:p w:rsidR="00603EA9" w:rsidRDefault="00603EA9" w:rsidP="004C2DA3">
      <w:pPr>
        <w:pStyle w:val="SectionHeading"/>
      </w:pPr>
      <w:bookmarkStart w:id="0" w:name="_Toc463443351"/>
      <w:r>
        <w:lastRenderedPageBreak/>
        <w:t>Contents</w:t>
      </w:r>
      <w:bookmarkEnd w:id="0"/>
    </w:p>
    <w:p w:rsidR="00E35A51" w:rsidRDefault="007F6BBC">
      <w:pPr>
        <w:pStyle w:val="TOC1"/>
        <w:tabs>
          <w:tab w:val="right" w:leader="dot" w:pos="9016"/>
        </w:tabs>
        <w:rPr>
          <w:rFonts w:asciiTheme="minorHAnsi" w:eastAsiaTheme="minorEastAsia" w:hAnsiTheme="minorHAnsi" w:cstheme="minorBidi"/>
          <w:b w:val="0"/>
          <w:noProof/>
          <w:sz w:val="22"/>
          <w:szCs w:val="22"/>
          <w:lang w:eastAsia="en-GB"/>
        </w:rPr>
      </w:pPr>
      <w:r w:rsidRPr="007F6BBC">
        <w:rPr>
          <w:b w:val="0"/>
        </w:rPr>
        <w:fldChar w:fldCharType="begin"/>
      </w:r>
      <w:r w:rsidR="0031252F">
        <w:rPr>
          <w:b w:val="0"/>
        </w:rPr>
        <w:instrText xml:space="preserve"> TOC \h \z \t "Section Heading,1" </w:instrText>
      </w:r>
      <w:r w:rsidRPr="007F6BBC">
        <w:rPr>
          <w:b w:val="0"/>
        </w:rPr>
        <w:fldChar w:fldCharType="separate"/>
      </w:r>
      <w:hyperlink w:anchor="_Toc463443352" w:history="1">
        <w:r w:rsidR="00E35A51" w:rsidRPr="005A4D1D">
          <w:rPr>
            <w:rStyle w:val="Hyperlink"/>
            <w:noProof/>
          </w:rPr>
          <w:t>Introduction</w:t>
        </w:r>
        <w:r w:rsidR="00E35A51">
          <w:rPr>
            <w:noProof/>
            <w:webHidden/>
          </w:rPr>
          <w:tab/>
        </w:r>
        <w:r>
          <w:rPr>
            <w:noProof/>
            <w:webHidden/>
          </w:rPr>
          <w:fldChar w:fldCharType="begin"/>
        </w:r>
        <w:r w:rsidR="00E35A51">
          <w:rPr>
            <w:noProof/>
            <w:webHidden/>
          </w:rPr>
          <w:instrText xml:space="preserve"> PAGEREF _Toc463443352 \h </w:instrText>
        </w:r>
        <w:r>
          <w:rPr>
            <w:noProof/>
            <w:webHidden/>
          </w:rPr>
        </w:r>
        <w:r>
          <w:rPr>
            <w:noProof/>
            <w:webHidden/>
          </w:rPr>
          <w:fldChar w:fldCharType="separate"/>
        </w:r>
        <w:r w:rsidR="00CC4B9F">
          <w:rPr>
            <w:noProof/>
            <w:webHidden/>
          </w:rPr>
          <w:t>1</w:t>
        </w:r>
        <w:r>
          <w:rPr>
            <w:noProof/>
            <w:webHidden/>
          </w:rPr>
          <w:fldChar w:fldCharType="end"/>
        </w:r>
      </w:hyperlink>
    </w:p>
    <w:p w:rsidR="00E35A51" w:rsidRDefault="007F6BBC">
      <w:pPr>
        <w:pStyle w:val="TOC1"/>
        <w:tabs>
          <w:tab w:val="right" w:leader="dot" w:pos="9016"/>
        </w:tabs>
        <w:rPr>
          <w:rFonts w:asciiTheme="minorHAnsi" w:eastAsiaTheme="minorEastAsia" w:hAnsiTheme="minorHAnsi" w:cstheme="minorBidi"/>
          <w:b w:val="0"/>
          <w:noProof/>
          <w:sz w:val="22"/>
          <w:szCs w:val="22"/>
          <w:lang w:eastAsia="en-GB"/>
        </w:rPr>
      </w:pPr>
      <w:hyperlink w:anchor="_Toc463443353" w:history="1">
        <w:r w:rsidR="00E35A51" w:rsidRPr="005A4D1D">
          <w:rPr>
            <w:rStyle w:val="Hyperlink"/>
            <w:noProof/>
          </w:rPr>
          <w:t>STRATEGIC CASE</w:t>
        </w:r>
        <w:r w:rsidR="00E35A51">
          <w:rPr>
            <w:noProof/>
            <w:webHidden/>
          </w:rPr>
          <w:tab/>
        </w:r>
        <w:r>
          <w:rPr>
            <w:noProof/>
            <w:webHidden/>
          </w:rPr>
          <w:fldChar w:fldCharType="begin"/>
        </w:r>
        <w:r w:rsidR="00E35A51">
          <w:rPr>
            <w:noProof/>
            <w:webHidden/>
          </w:rPr>
          <w:instrText xml:space="preserve"> PAGEREF _Toc463443353 \h </w:instrText>
        </w:r>
        <w:r>
          <w:rPr>
            <w:noProof/>
            <w:webHidden/>
          </w:rPr>
        </w:r>
        <w:r>
          <w:rPr>
            <w:noProof/>
            <w:webHidden/>
          </w:rPr>
          <w:fldChar w:fldCharType="separate"/>
        </w:r>
        <w:r w:rsidR="00CC4B9F">
          <w:rPr>
            <w:noProof/>
            <w:webHidden/>
          </w:rPr>
          <w:t>2</w:t>
        </w:r>
        <w:r>
          <w:rPr>
            <w:noProof/>
            <w:webHidden/>
          </w:rPr>
          <w:fldChar w:fldCharType="end"/>
        </w:r>
      </w:hyperlink>
    </w:p>
    <w:p w:rsidR="00E35A51" w:rsidRDefault="007F6BBC">
      <w:pPr>
        <w:pStyle w:val="TOC1"/>
        <w:tabs>
          <w:tab w:val="right" w:leader="dot" w:pos="9016"/>
        </w:tabs>
        <w:rPr>
          <w:rFonts w:asciiTheme="minorHAnsi" w:eastAsiaTheme="minorEastAsia" w:hAnsiTheme="minorHAnsi" w:cstheme="minorBidi"/>
          <w:b w:val="0"/>
          <w:noProof/>
          <w:sz w:val="22"/>
          <w:szCs w:val="22"/>
          <w:lang w:eastAsia="en-GB"/>
        </w:rPr>
      </w:pPr>
      <w:hyperlink w:anchor="_Toc463443354" w:history="1">
        <w:r w:rsidR="00E35A51" w:rsidRPr="005A4D1D">
          <w:rPr>
            <w:rStyle w:val="Hyperlink"/>
            <w:noProof/>
          </w:rPr>
          <w:t>ECONOMIC CASE</w:t>
        </w:r>
        <w:r w:rsidR="00E35A51">
          <w:rPr>
            <w:noProof/>
            <w:webHidden/>
          </w:rPr>
          <w:tab/>
        </w:r>
        <w:r>
          <w:rPr>
            <w:noProof/>
            <w:webHidden/>
          </w:rPr>
          <w:fldChar w:fldCharType="begin"/>
        </w:r>
        <w:r w:rsidR="00E35A51">
          <w:rPr>
            <w:noProof/>
            <w:webHidden/>
          </w:rPr>
          <w:instrText xml:space="preserve"> PAGEREF _Toc463443354 \h </w:instrText>
        </w:r>
        <w:r>
          <w:rPr>
            <w:noProof/>
            <w:webHidden/>
          </w:rPr>
        </w:r>
        <w:r>
          <w:rPr>
            <w:noProof/>
            <w:webHidden/>
          </w:rPr>
          <w:fldChar w:fldCharType="separate"/>
        </w:r>
        <w:r w:rsidR="00CC4B9F">
          <w:rPr>
            <w:noProof/>
            <w:webHidden/>
          </w:rPr>
          <w:t>7</w:t>
        </w:r>
        <w:r>
          <w:rPr>
            <w:noProof/>
            <w:webHidden/>
          </w:rPr>
          <w:fldChar w:fldCharType="end"/>
        </w:r>
      </w:hyperlink>
    </w:p>
    <w:p w:rsidR="00E35A51" w:rsidRDefault="007F6BBC">
      <w:pPr>
        <w:pStyle w:val="TOC1"/>
        <w:tabs>
          <w:tab w:val="right" w:leader="dot" w:pos="9016"/>
        </w:tabs>
        <w:rPr>
          <w:rFonts w:asciiTheme="minorHAnsi" w:eastAsiaTheme="minorEastAsia" w:hAnsiTheme="minorHAnsi" w:cstheme="minorBidi"/>
          <w:b w:val="0"/>
          <w:noProof/>
          <w:sz w:val="22"/>
          <w:szCs w:val="22"/>
          <w:lang w:eastAsia="en-GB"/>
        </w:rPr>
      </w:pPr>
      <w:hyperlink w:anchor="_Toc463443355" w:history="1">
        <w:r w:rsidR="00E35A51" w:rsidRPr="005A4D1D">
          <w:rPr>
            <w:rStyle w:val="Hyperlink"/>
            <w:noProof/>
          </w:rPr>
          <w:t>COMMERCIAL CASE</w:t>
        </w:r>
        <w:r w:rsidR="00E35A51">
          <w:rPr>
            <w:noProof/>
            <w:webHidden/>
          </w:rPr>
          <w:tab/>
        </w:r>
        <w:r>
          <w:rPr>
            <w:noProof/>
            <w:webHidden/>
          </w:rPr>
          <w:fldChar w:fldCharType="begin"/>
        </w:r>
        <w:r w:rsidR="00E35A51">
          <w:rPr>
            <w:noProof/>
            <w:webHidden/>
          </w:rPr>
          <w:instrText xml:space="preserve"> PAGEREF _Toc463443355 \h </w:instrText>
        </w:r>
        <w:r>
          <w:rPr>
            <w:noProof/>
            <w:webHidden/>
          </w:rPr>
        </w:r>
        <w:r>
          <w:rPr>
            <w:noProof/>
            <w:webHidden/>
          </w:rPr>
          <w:fldChar w:fldCharType="separate"/>
        </w:r>
        <w:r w:rsidR="00CC4B9F">
          <w:rPr>
            <w:noProof/>
            <w:webHidden/>
          </w:rPr>
          <w:t>26</w:t>
        </w:r>
        <w:r>
          <w:rPr>
            <w:noProof/>
            <w:webHidden/>
          </w:rPr>
          <w:fldChar w:fldCharType="end"/>
        </w:r>
      </w:hyperlink>
    </w:p>
    <w:p w:rsidR="00E35A51" w:rsidRDefault="007F6BBC">
      <w:pPr>
        <w:pStyle w:val="TOC1"/>
        <w:tabs>
          <w:tab w:val="right" w:leader="dot" w:pos="9016"/>
        </w:tabs>
        <w:rPr>
          <w:rFonts w:asciiTheme="minorHAnsi" w:eastAsiaTheme="minorEastAsia" w:hAnsiTheme="minorHAnsi" w:cstheme="minorBidi"/>
          <w:b w:val="0"/>
          <w:noProof/>
          <w:sz w:val="22"/>
          <w:szCs w:val="22"/>
          <w:lang w:eastAsia="en-GB"/>
        </w:rPr>
      </w:pPr>
      <w:hyperlink w:anchor="_Toc463443356" w:history="1">
        <w:r w:rsidR="00E35A51" w:rsidRPr="005A4D1D">
          <w:rPr>
            <w:rStyle w:val="Hyperlink"/>
            <w:noProof/>
          </w:rPr>
          <w:t>FINANCIAL CASE</w:t>
        </w:r>
        <w:r w:rsidR="00E35A51">
          <w:rPr>
            <w:noProof/>
            <w:webHidden/>
          </w:rPr>
          <w:tab/>
        </w:r>
        <w:r>
          <w:rPr>
            <w:noProof/>
            <w:webHidden/>
          </w:rPr>
          <w:fldChar w:fldCharType="begin"/>
        </w:r>
        <w:r w:rsidR="00E35A51">
          <w:rPr>
            <w:noProof/>
            <w:webHidden/>
          </w:rPr>
          <w:instrText xml:space="preserve"> PAGEREF _Toc463443356 \h </w:instrText>
        </w:r>
        <w:r>
          <w:rPr>
            <w:noProof/>
            <w:webHidden/>
          </w:rPr>
        </w:r>
        <w:r>
          <w:rPr>
            <w:noProof/>
            <w:webHidden/>
          </w:rPr>
          <w:fldChar w:fldCharType="separate"/>
        </w:r>
        <w:r w:rsidR="00CC4B9F">
          <w:rPr>
            <w:noProof/>
            <w:webHidden/>
          </w:rPr>
          <w:t>39</w:t>
        </w:r>
        <w:r>
          <w:rPr>
            <w:noProof/>
            <w:webHidden/>
          </w:rPr>
          <w:fldChar w:fldCharType="end"/>
        </w:r>
      </w:hyperlink>
    </w:p>
    <w:p w:rsidR="00E35A51" w:rsidRDefault="007F6BBC">
      <w:pPr>
        <w:pStyle w:val="TOC1"/>
        <w:tabs>
          <w:tab w:val="right" w:leader="dot" w:pos="9016"/>
        </w:tabs>
        <w:rPr>
          <w:rFonts w:asciiTheme="minorHAnsi" w:eastAsiaTheme="minorEastAsia" w:hAnsiTheme="minorHAnsi" w:cstheme="minorBidi"/>
          <w:b w:val="0"/>
          <w:noProof/>
          <w:sz w:val="22"/>
          <w:szCs w:val="22"/>
          <w:lang w:eastAsia="en-GB"/>
        </w:rPr>
      </w:pPr>
      <w:hyperlink w:anchor="_Toc463443357" w:history="1">
        <w:r w:rsidR="00E35A51" w:rsidRPr="005A4D1D">
          <w:rPr>
            <w:rStyle w:val="Hyperlink"/>
            <w:noProof/>
          </w:rPr>
          <w:t>MANAGEMENT CASE</w:t>
        </w:r>
        <w:r w:rsidR="00E35A51">
          <w:rPr>
            <w:noProof/>
            <w:webHidden/>
          </w:rPr>
          <w:tab/>
        </w:r>
        <w:r>
          <w:rPr>
            <w:noProof/>
            <w:webHidden/>
          </w:rPr>
          <w:fldChar w:fldCharType="begin"/>
        </w:r>
        <w:r w:rsidR="00E35A51">
          <w:rPr>
            <w:noProof/>
            <w:webHidden/>
          </w:rPr>
          <w:instrText xml:space="preserve"> PAGEREF _Toc463443357 \h </w:instrText>
        </w:r>
        <w:r>
          <w:rPr>
            <w:noProof/>
            <w:webHidden/>
          </w:rPr>
        </w:r>
        <w:r>
          <w:rPr>
            <w:noProof/>
            <w:webHidden/>
          </w:rPr>
          <w:fldChar w:fldCharType="separate"/>
        </w:r>
        <w:r w:rsidR="00CC4B9F">
          <w:rPr>
            <w:noProof/>
            <w:webHidden/>
          </w:rPr>
          <w:t>49</w:t>
        </w:r>
        <w:r>
          <w:rPr>
            <w:noProof/>
            <w:webHidden/>
          </w:rPr>
          <w:fldChar w:fldCharType="end"/>
        </w:r>
      </w:hyperlink>
    </w:p>
    <w:p w:rsidR="00603EA9" w:rsidRPr="00603EA9" w:rsidRDefault="007F6BBC" w:rsidP="00603EA9">
      <w:pPr>
        <w:pStyle w:val="Standardparagraph0"/>
      </w:pPr>
      <w:r>
        <w:rPr>
          <w:b/>
          <w:sz w:val="28"/>
        </w:rPr>
        <w:fldChar w:fldCharType="end"/>
      </w:r>
    </w:p>
    <w:p w:rsidR="00603EA9" w:rsidRPr="00603EA9" w:rsidRDefault="00603EA9" w:rsidP="00603EA9">
      <w:pPr>
        <w:pStyle w:val="Standardparagraph0"/>
        <w:sectPr w:rsidR="00603EA9" w:rsidRPr="00603EA9" w:rsidSect="002B2078">
          <w:headerReference w:type="default" r:id="rId10"/>
          <w:footerReference w:type="default" r:id="rId11"/>
          <w:pgSz w:w="11906" w:h="16838"/>
          <w:pgMar w:top="1440" w:right="1440" w:bottom="1440" w:left="1440" w:header="708" w:footer="708" w:gutter="0"/>
          <w:pgNumType w:start="1"/>
          <w:cols w:space="708"/>
          <w:docGrid w:linePitch="360"/>
        </w:sectPr>
      </w:pPr>
    </w:p>
    <w:p w:rsidR="0031252F" w:rsidRDefault="0031252F" w:rsidP="00603EA9">
      <w:pPr>
        <w:pStyle w:val="SectionHeading"/>
      </w:pPr>
      <w:bookmarkStart w:id="1" w:name="_Toc463443352"/>
      <w:bookmarkStart w:id="2" w:name="_Toc460408643"/>
      <w:r>
        <w:lastRenderedPageBreak/>
        <w:t>Introduction</w:t>
      </w:r>
      <w:bookmarkEnd w:id="1"/>
    </w:p>
    <w:p w:rsidR="009D23AD" w:rsidRDefault="00F77570" w:rsidP="00DF2C78">
      <w:pPr>
        <w:pStyle w:val="StandardParagraph"/>
      </w:pPr>
      <w:r w:rsidRPr="00DF2C78">
        <w:t>The Scottish Capital Investment Manual (SCIM) provides guidance in a NHS context on the sector-specific processes and techniques to be applied in the development of</w:t>
      </w:r>
      <w:r w:rsidR="00394862">
        <w:t xml:space="preserve"> service,</w:t>
      </w:r>
      <w:r w:rsidRPr="00DF2C78">
        <w:t xml:space="preserve"> infrastructure and investment programmes and projects within </w:t>
      </w:r>
      <w:proofErr w:type="spellStart"/>
      <w:r w:rsidRPr="00DF2C78">
        <w:t>NHSScotland</w:t>
      </w:r>
      <w:proofErr w:type="spellEnd"/>
      <w:r w:rsidRPr="00DF2C78">
        <w:t xml:space="preserve">.  </w:t>
      </w:r>
      <w:r w:rsidR="00DF2C78">
        <w:t xml:space="preserve"> </w:t>
      </w:r>
    </w:p>
    <w:p w:rsidR="009D23AD" w:rsidRDefault="009D23AD" w:rsidP="009D23AD">
      <w:pPr>
        <w:pStyle w:val="StandardParagraph"/>
      </w:pPr>
      <w:r>
        <w:t xml:space="preserve">The guidance adopts the ‘five case model’ methodology for developing a robust </w:t>
      </w:r>
      <w:r w:rsidR="004C2DA3">
        <w:t xml:space="preserve">and comprehensive </w:t>
      </w:r>
      <w:r>
        <w:t xml:space="preserve">business case, which is centred on the need to address the following issues: </w:t>
      </w:r>
    </w:p>
    <w:p w:rsidR="009D23AD" w:rsidRPr="009D23AD" w:rsidRDefault="009D23AD" w:rsidP="009D23AD">
      <w:pPr>
        <w:pStyle w:val="StandardBullet0"/>
      </w:pPr>
      <w:r>
        <w:t>Does the proposal support a compe</w:t>
      </w:r>
      <w:r w:rsidRPr="009D23AD">
        <w:t xml:space="preserve">lling </w:t>
      </w:r>
      <w:r w:rsidRPr="009D23AD">
        <w:rPr>
          <w:b/>
          <w:bCs/>
        </w:rPr>
        <w:t>case for change</w:t>
      </w:r>
      <w:r w:rsidR="00C01313">
        <w:rPr>
          <w:b/>
          <w:bCs/>
        </w:rPr>
        <w:t>;</w:t>
      </w:r>
      <w:r w:rsidRPr="009D23AD">
        <w:rPr>
          <w:bCs/>
        </w:rPr>
        <w:t xml:space="preserve"> </w:t>
      </w:r>
      <w:r>
        <w:rPr>
          <w:bCs/>
        </w:rPr>
        <w:t>provid</w:t>
      </w:r>
      <w:r w:rsidR="00C01313">
        <w:rPr>
          <w:bCs/>
        </w:rPr>
        <w:t>ing</w:t>
      </w:r>
      <w:r>
        <w:rPr>
          <w:bCs/>
        </w:rPr>
        <w:t xml:space="preserve"> </w:t>
      </w:r>
      <w:r w:rsidR="00C01313">
        <w:rPr>
          <w:bCs/>
        </w:rPr>
        <w:t>national and local strategic synergy</w:t>
      </w:r>
      <w:r>
        <w:rPr>
          <w:bCs/>
        </w:rPr>
        <w:t>?</w:t>
      </w:r>
      <w:r w:rsidR="00C01313">
        <w:rPr>
          <w:bCs/>
        </w:rPr>
        <w:t xml:space="preserve"> – </w:t>
      </w:r>
      <w:proofErr w:type="gramStart"/>
      <w:r w:rsidR="00C01313">
        <w:rPr>
          <w:bCs/>
        </w:rPr>
        <w:t>the</w:t>
      </w:r>
      <w:proofErr w:type="gramEnd"/>
      <w:r w:rsidR="00C01313">
        <w:rPr>
          <w:bCs/>
        </w:rPr>
        <w:t xml:space="preserve"> Strategic Case.</w:t>
      </w:r>
    </w:p>
    <w:p w:rsidR="00DF2C78" w:rsidRPr="00D0670F" w:rsidRDefault="009D23AD" w:rsidP="00DF2C78">
      <w:pPr>
        <w:pStyle w:val="StandardBullet0"/>
      </w:pPr>
      <w:r w:rsidRPr="00C01313">
        <w:rPr>
          <w:bCs/>
        </w:rPr>
        <w:t xml:space="preserve">Will the proposal </w:t>
      </w:r>
      <w:r w:rsidR="00C01313" w:rsidRPr="00C01313">
        <w:rPr>
          <w:bCs/>
        </w:rPr>
        <w:t xml:space="preserve">optimise </w:t>
      </w:r>
      <w:r w:rsidR="00DF2C78" w:rsidRPr="00C01313">
        <w:rPr>
          <w:b/>
          <w:bCs/>
        </w:rPr>
        <w:t>value for money</w:t>
      </w:r>
      <w:r w:rsidR="00C01313" w:rsidRPr="00C01313">
        <w:rPr>
          <w:bCs/>
        </w:rPr>
        <w:t>?</w:t>
      </w:r>
      <w:r w:rsidR="00DF2C78" w:rsidRPr="00C01313">
        <w:rPr>
          <w:b/>
          <w:bCs/>
        </w:rPr>
        <w:t xml:space="preserve"> </w:t>
      </w:r>
      <w:r w:rsidR="008201F4">
        <w:t xml:space="preserve">– </w:t>
      </w:r>
      <w:proofErr w:type="gramStart"/>
      <w:r w:rsidR="008201F4">
        <w:t>the</w:t>
      </w:r>
      <w:proofErr w:type="gramEnd"/>
      <w:r w:rsidR="008201F4">
        <w:t xml:space="preserve"> </w:t>
      </w:r>
      <w:r w:rsidR="00C01313">
        <w:t>Economic C</w:t>
      </w:r>
      <w:r w:rsidR="008201F4">
        <w:t>ase</w:t>
      </w:r>
      <w:r w:rsidR="00C01313">
        <w:t>.</w:t>
      </w:r>
    </w:p>
    <w:p w:rsidR="00DF2C78" w:rsidRPr="00D0670F" w:rsidRDefault="00C01313" w:rsidP="00DF2C78">
      <w:pPr>
        <w:pStyle w:val="Standardbullet"/>
      </w:pPr>
      <w:r>
        <w:t xml:space="preserve">Is the proposal </w:t>
      </w:r>
      <w:r w:rsidR="00DF2C78" w:rsidRPr="00C01313">
        <w:rPr>
          <w:b/>
          <w:bCs/>
        </w:rPr>
        <w:t>commercially viable</w:t>
      </w:r>
      <w:r>
        <w:rPr>
          <w:b/>
          <w:bCs/>
        </w:rPr>
        <w:t>?</w:t>
      </w:r>
      <w:r w:rsidR="00DF2C78" w:rsidRPr="00C01313">
        <w:rPr>
          <w:b/>
          <w:bCs/>
        </w:rPr>
        <w:t xml:space="preserve"> </w:t>
      </w:r>
      <w:r w:rsidR="008201F4">
        <w:t xml:space="preserve">– </w:t>
      </w:r>
      <w:proofErr w:type="gramStart"/>
      <w:r w:rsidR="008201F4">
        <w:t>the</w:t>
      </w:r>
      <w:proofErr w:type="gramEnd"/>
      <w:r w:rsidR="008201F4">
        <w:t xml:space="preserve"> </w:t>
      </w:r>
      <w:r>
        <w:t>Commercial C</w:t>
      </w:r>
      <w:r w:rsidR="00DF2C78" w:rsidRPr="00D0670F">
        <w:t>ase</w:t>
      </w:r>
      <w:r w:rsidR="008201F4">
        <w:t>.</w:t>
      </w:r>
    </w:p>
    <w:p w:rsidR="00DF2C78" w:rsidRPr="00D0670F" w:rsidRDefault="00C01313" w:rsidP="00DF2C78">
      <w:pPr>
        <w:pStyle w:val="Standardbullet"/>
      </w:pPr>
      <w:r w:rsidRPr="00C01313">
        <w:rPr>
          <w:rFonts w:cs="SymbolMT"/>
        </w:rPr>
        <w:t xml:space="preserve">Is it </w:t>
      </w:r>
      <w:r w:rsidR="00DF2C78" w:rsidRPr="00C01313">
        <w:rPr>
          <w:b/>
          <w:bCs/>
        </w:rPr>
        <w:t xml:space="preserve">financially affordable </w:t>
      </w:r>
      <w:r w:rsidR="008201F4">
        <w:t xml:space="preserve">– the </w:t>
      </w:r>
      <w:r>
        <w:t xml:space="preserve">Financial </w:t>
      </w:r>
      <w:proofErr w:type="gramStart"/>
      <w:r>
        <w:t>C</w:t>
      </w:r>
      <w:r w:rsidR="008201F4">
        <w:t>ase.</w:t>
      </w:r>
      <w:proofErr w:type="gramEnd"/>
    </w:p>
    <w:p w:rsidR="00DF2C78" w:rsidRPr="00D0670F" w:rsidRDefault="00C01313" w:rsidP="00DF2C78">
      <w:pPr>
        <w:pStyle w:val="Standardbullet"/>
      </w:pPr>
      <w:r w:rsidRPr="00C01313">
        <w:rPr>
          <w:rFonts w:cs="SymbolMT"/>
        </w:rPr>
        <w:t xml:space="preserve">Is it </w:t>
      </w:r>
      <w:r w:rsidRPr="00C01313">
        <w:rPr>
          <w:rFonts w:cs="SymbolMT"/>
          <w:b/>
        </w:rPr>
        <w:t>achievable and deliverable</w:t>
      </w:r>
      <w:r w:rsidRPr="00C01313">
        <w:rPr>
          <w:rFonts w:cs="SymbolMT"/>
        </w:rPr>
        <w:t xml:space="preserve">? - </w:t>
      </w:r>
      <w:proofErr w:type="gramStart"/>
      <w:r w:rsidR="008201F4">
        <w:t>the</w:t>
      </w:r>
      <w:proofErr w:type="gramEnd"/>
      <w:r w:rsidR="008201F4">
        <w:t xml:space="preserve"> </w:t>
      </w:r>
      <w:r>
        <w:t>M</w:t>
      </w:r>
      <w:r w:rsidR="00DF2C78">
        <w:t xml:space="preserve">anagement </w:t>
      </w:r>
      <w:r>
        <w:t>C</w:t>
      </w:r>
      <w:r w:rsidR="00DF2C78">
        <w:t>ase</w:t>
      </w:r>
      <w:r>
        <w:t>.</w:t>
      </w:r>
    </w:p>
    <w:p w:rsidR="00C01313" w:rsidRDefault="004C2DA3" w:rsidP="00DF2C78">
      <w:pPr>
        <w:pStyle w:val="StandardParagraph"/>
      </w:pPr>
      <w:r>
        <w:t>While e</w:t>
      </w:r>
      <w:r w:rsidR="008201F4" w:rsidRPr="00DF2C78">
        <w:t xml:space="preserve">ach </w:t>
      </w:r>
      <w:r w:rsidR="008201F4">
        <w:t>business case stage will need to address each</w:t>
      </w:r>
      <w:r>
        <w:t xml:space="preserve"> of the above questions,</w:t>
      </w:r>
      <w:r w:rsidR="008201F4">
        <w:t xml:space="preserve"> t</w:t>
      </w:r>
      <w:r w:rsidR="00C01313">
        <w:t xml:space="preserve">he </w:t>
      </w:r>
      <w:r>
        <w:t xml:space="preserve">main </w:t>
      </w:r>
      <w:r w:rsidR="00C01313">
        <w:t>focus of attention on these issues is likely to change as a project develops</w:t>
      </w:r>
      <w:r w:rsidR="00F57AC9">
        <w:t>.  For example, at Initial Agreement s</w:t>
      </w:r>
      <w:r w:rsidR="00C01313">
        <w:t>tage</w:t>
      </w:r>
      <w:r w:rsidR="008201F4">
        <w:t xml:space="preserve"> </w:t>
      </w:r>
      <w:r w:rsidR="00F57AC9">
        <w:t xml:space="preserve">attention should be </w:t>
      </w:r>
      <w:r w:rsidR="008201F4">
        <w:t xml:space="preserve">on </w:t>
      </w:r>
      <w:r w:rsidR="00F57AC9">
        <w:t xml:space="preserve">developing a robust </w:t>
      </w:r>
      <w:r w:rsidR="008201F4">
        <w:t>Strategic Case</w:t>
      </w:r>
      <w:r w:rsidR="00F57AC9">
        <w:t>, at</w:t>
      </w:r>
      <w:r w:rsidR="00C01313">
        <w:t xml:space="preserve"> </w:t>
      </w:r>
      <w:r>
        <w:t xml:space="preserve">OBC </w:t>
      </w:r>
      <w:r w:rsidR="00F57AC9">
        <w:t>stage attention may shift to the Economic Case, a</w:t>
      </w:r>
      <w:r w:rsidR="00C01313">
        <w:t xml:space="preserve">nd the </w:t>
      </w:r>
      <w:r>
        <w:t xml:space="preserve">FBC should confirm </w:t>
      </w:r>
      <w:r w:rsidR="00F57AC9">
        <w:t xml:space="preserve">proposals initially set out in the OBC for </w:t>
      </w:r>
      <w:r>
        <w:t xml:space="preserve">the </w:t>
      </w:r>
      <w:r w:rsidR="00C01313">
        <w:t>Commercial, Financial a</w:t>
      </w:r>
      <w:r>
        <w:t>nd Management Cases</w:t>
      </w:r>
      <w:r w:rsidR="00C01313">
        <w:t>.</w:t>
      </w:r>
    </w:p>
    <w:p w:rsidR="00F77570" w:rsidRPr="00830BF1" w:rsidRDefault="008201F4" w:rsidP="00F77570">
      <w:pPr>
        <w:pStyle w:val="StandardParagraph"/>
        <w:rPr>
          <w:rFonts w:eastAsiaTheme="majorEastAsia"/>
        </w:rPr>
      </w:pPr>
      <w:r>
        <w:rPr>
          <w:rFonts w:eastAsiaTheme="majorEastAsia"/>
        </w:rPr>
        <w:t xml:space="preserve">The purpose of the </w:t>
      </w:r>
      <w:r w:rsidR="00F77570" w:rsidRPr="00830BF1">
        <w:rPr>
          <w:rFonts w:eastAsiaTheme="majorEastAsia"/>
          <w:b/>
        </w:rPr>
        <w:t>Outline Business Case</w:t>
      </w:r>
      <w:r w:rsidR="00F77570" w:rsidRPr="00830BF1">
        <w:rPr>
          <w:rFonts w:eastAsiaTheme="majorEastAsia"/>
        </w:rPr>
        <w:t xml:space="preserve"> </w:t>
      </w:r>
      <w:r>
        <w:rPr>
          <w:rFonts w:eastAsiaTheme="majorEastAsia"/>
        </w:rPr>
        <w:t>is thus to</w:t>
      </w:r>
      <w:r w:rsidR="00F77570">
        <w:rPr>
          <w:rFonts w:eastAsiaTheme="majorEastAsia"/>
        </w:rPr>
        <w:t xml:space="preserve"> identify the preferred</w:t>
      </w:r>
      <w:r w:rsidR="00F77570" w:rsidRPr="00830BF1">
        <w:rPr>
          <w:rFonts w:eastAsiaTheme="majorEastAsia"/>
        </w:rPr>
        <w:t xml:space="preserve"> option for implementing the strategic / service solution confirmed at Initial Agreement stage.  </w:t>
      </w:r>
      <w:r w:rsidR="00F77570">
        <w:rPr>
          <w:rFonts w:eastAsiaTheme="majorEastAsia"/>
        </w:rPr>
        <w:t>It will</w:t>
      </w:r>
      <w:r w:rsidR="00F77570" w:rsidRPr="00830BF1">
        <w:rPr>
          <w:rFonts w:eastAsiaTheme="majorEastAsia"/>
        </w:rPr>
        <w:t xml:space="preserve"> demonstrate that the preferred option optimises value for money and is affordable.  It </w:t>
      </w:r>
      <w:r w:rsidR="00F77570">
        <w:rPr>
          <w:rFonts w:eastAsiaTheme="majorEastAsia"/>
        </w:rPr>
        <w:t xml:space="preserve">will </w:t>
      </w:r>
      <w:r w:rsidR="00F77570" w:rsidRPr="00830BF1">
        <w:rPr>
          <w:rFonts w:eastAsiaTheme="majorEastAsia"/>
        </w:rPr>
        <w:t xml:space="preserve">also set out the supporting </w:t>
      </w:r>
      <w:r w:rsidR="00F77570">
        <w:rPr>
          <w:rFonts w:eastAsiaTheme="majorEastAsia"/>
        </w:rPr>
        <w:t xml:space="preserve">commercial </w:t>
      </w:r>
      <w:r w:rsidR="00F77570" w:rsidRPr="00830BF1">
        <w:rPr>
          <w:rFonts w:eastAsiaTheme="majorEastAsia"/>
        </w:rPr>
        <w:t xml:space="preserve">and management arrangements </w:t>
      </w:r>
      <w:r w:rsidR="00F77570">
        <w:rPr>
          <w:rFonts w:eastAsiaTheme="majorEastAsia"/>
        </w:rPr>
        <w:t xml:space="preserve">to be put </w:t>
      </w:r>
      <w:r w:rsidR="00F77570" w:rsidRPr="00830BF1">
        <w:rPr>
          <w:rFonts w:eastAsiaTheme="majorEastAsia"/>
        </w:rPr>
        <w:t>in place to successfully implement that option.</w:t>
      </w:r>
    </w:p>
    <w:p w:rsidR="00F77570" w:rsidRDefault="00F77570" w:rsidP="00F77570">
      <w:pPr>
        <w:pStyle w:val="StandardParagraph"/>
      </w:pPr>
    </w:p>
    <w:p w:rsidR="0031252F" w:rsidRPr="0031252F" w:rsidRDefault="0031252F" w:rsidP="0031252F">
      <w:pPr>
        <w:pStyle w:val="StandardParagraph"/>
        <w:sectPr w:rsidR="0031252F" w:rsidRPr="0031252F" w:rsidSect="0081629E">
          <w:footerReference w:type="default" r:id="rId12"/>
          <w:pgSz w:w="11906" w:h="16838"/>
          <w:pgMar w:top="1588" w:right="1440" w:bottom="1440" w:left="1440" w:header="709" w:footer="709" w:gutter="0"/>
          <w:pgNumType w:start="1"/>
          <w:cols w:space="708"/>
          <w:docGrid w:linePitch="360"/>
        </w:sectPr>
      </w:pPr>
    </w:p>
    <w:p w:rsidR="00603EA9" w:rsidRDefault="00603EA9" w:rsidP="00603EA9">
      <w:pPr>
        <w:pStyle w:val="SectionHeading"/>
      </w:pPr>
      <w:bookmarkStart w:id="3" w:name="_Toc463443353"/>
      <w:r>
        <w:lastRenderedPageBreak/>
        <w:t>STRATEGIC CASE</w:t>
      </w:r>
      <w:bookmarkEnd w:id="3"/>
    </w:p>
    <w:p w:rsidR="007612F9" w:rsidRPr="00803DFD" w:rsidRDefault="007612F9" w:rsidP="007612F9">
      <w:pPr>
        <w:pStyle w:val="Heading1"/>
      </w:pPr>
      <w:r w:rsidRPr="00803DFD">
        <w:t>Strategic Case: Overview</w:t>
      </w:r>
    </w:p>
    <w:p w:rsidR="007612F9" w:rsidRDefault="007612F9" w:rsidP="007612F9">
      <w:pPr>
        <w:pStyle w:val="StandardParagraph"/>
      </w:pPr>
      <w:r w:rsidRPr="00D0670F">
        <w:t xml:space="preserve">The </w:t>
      </w:r>
      <w:r>
        <w:t xml:space="preserve">main </w:t>
      </w:r>
      <w:r w:rsidRPr="00D0670F">
        <w:t xml:space="preserve">purpose of the </w:t>
      </w:r>
      <w:r>
        <w:t xml:space="preserve">Strategic Case at OBC stage </w:t>
      </w:r>
      <w:r w:rsidRPr="00D0670F">
        <w:t>is</w:t>
      </w:r>
      <w:r>
        <w:t xml:space="preserve"> to confirm that the background for selecting the preferred strategic / service solution(s) at Initial Agreement stage has not changed.   It will do this by revisiting the Strategic Case set out in the Initial Agreement whilst responding, as appropriate, to the following questions:</w:t>
      </w:r>
    </w:p>
    <w:p w:rsidR="007612F9" w:rsidRDefault="007F6BBC" w:rsidP="007612F9">
      <w:pPr>
        <w:pStyle w:val="NoSpacing"/>
      </w:pPr>
      <w:r>
        <w:rPr>
          <w:noProof/>
          <w:lang w:eastAsia="en-GB"/>
        </w:rPr>
        <w:pict>
          <v:group id="_x0000_s1453" style="position:absolute;left:0;text-align:left;margin-left:0;margin-top:1.7pt;width:396pt;height:314.65pt;z-index:251874304" coordorigin="1440,4507" coordsize="7920,6293">
            <v:rect id="_x0000_s1454" style="position:absolute;left:2400;top:4507;width:6960;height:533;v-text-anchor:middle" fillcolor="#1f497d [3215]">
              <v:textbox style="mso-next-textbox:#_x0000_s1454">
                <w:txbxContent>
                  <w:p w:rsidR="003863F9" w:rsidRPr="00385F09" w:rsidRDefault="003863F9" w:rsidP="007612F9">
                    <w:pPr>
                      <w:spacing w:line="240" w:lineRule="auto"/>
                      <w:jc w:val="center"/>
                      <w:rPr>
                        <w:b/>
                        <w:color w:val="FFFFFF" w:themeColor="background1"/>
                        <w:sz w:val="28"/>
                        <w:szCs w:val="28"/>
                      </w:rPr>
                    </w:pPr>
                    <w:r>
                      <w:rPr>
                        <w:b/>
                        <w:color w:val="FFFFFF" w:themeColor="background1"/>
                        <w:sz w:val="28"/>
                        <w:szCs w:val="28"/>
                      </w:rPr>
                      <w:t>Strategic Case</w:t>
                    </w:r>
                    <w:r w:rsidRPr="00385F09">
                      <w:rPr>
                        <w:b/>
                        <w:color w:val="FFFFFF" w:themeColor="background1"/>
                        <w:sz w:val="28"/>
                        <w:szCs w:val="28"/>
                      </w:rPr>
                      <w:t xml:space="preserve"> (</w:t>
                    </w:r>
                    <w:r>
                      <w:rPr>
                        <w:b/>
                        <w:color w:val="FFFFFF" w:themeColor="background1"/>
                        <w:sz w:val="28"/>
                        <w:szCs w:val="28"/>
                      </w:rPr>
                      <w:t>OBC</w:t>
                    </w:r>
                    <w:r w:rsidRPr="00385F09">
                      <w:rPr>
                        <w:b/>
                        <w:color w:val="FFFFFF" w:themeColor="background1"/>
                        <w:sz w:val="28"/>
                        <w:szCs w:val="28"/>
                      </w:rPr>
                      <w:t>)</w:t>
                    </w:r>
                  </w:p>
                </w:txbxContent>
              </v:textbox>
            </v:rect>
            <v:rect id="_x0000_s1455" style="position:absolute;left:1440;top:5922;width:720;height:4878;v-text-anchor:middle" fillcolor="#bfbfbf [2412]">
              <v:textbox style="layout-flow:vertical;mso-layout-flow-alt:bottom-to-top;mso-next-textbox:#_x0000_s1455">
                <w:txbxContent>
                  <w:p w:rsidR="003863F9" w:rsidRPr="004F10D7" w:rsidRDefault="003863F9" w:rsidP="007612F9">
                    <w:pPr>
                      <w:spacing w:line="240" w:lineRule="auto"/>
                      <w:jc w:val="center"/>
                      <w:rPr>
                        <w:rFonts w:cs="Arial"/>
                        <w:b/>
                        <w:sz w:val="18"/>
                        <w:szCs w:val="18"/>
                      </w:rPr>
                    </w:pPr>
                    <w:r>
                      <w:rPr>
                        <w:rFonts w:cs="Arial"/>
                        <w:b/>
                        <w:sz w:val="18"/>
                        <w:szCs w:val="18"/>
                      </w:rPr>
                      <w:t>Strategic Case</w:t>
                    </w:r>
                  </w:p>
                </w:txbxContent>
              </v:textbox>
            </v:rect>
            <v:rect id="_x0000_s1456" style="position:absolute;left:5040;top:5220;width:4320;height:540;v-text-anchor:middle" fillcolor="#31849b [2408]">
              <v:textbox style="mso-next-textbox:#_x0000_s1456">
                <w:txbxContent>
                  <w:p w:rsidR="003863F9" w:rsidRPr="004C67CE" w:rsidRDefault="003863F9" w:rsidP="007612F9">
                    <w:pPr>
                      <w:spacing w:line="240" w:lineRule="auto"/>
                      <w:jc w:val="center"/>
                      <w:rPr>
                        <w:b/>
                        <w:color w:val="FFFFFF" w:themeColor="background1"/>
                        <w:szCs w:val="24"/>
                      </w:rPr>
                    </w:pPr>
                    <w:r w:rsidRPr="004C67CE">
                      <w:rPr>
                        <w:b/>
                        <w:color w:val="FFFFFF" w:themeColor="background1"/>
                        <w:szCs w:val="24"/>
                      </w:rPr>
                      <w:t>Response</w:t>
                    </w:r>
                  </w:p>
                </w:txbxContent>
              </v:textbox>
            </v:rect>
            <v:rect id="_x0000_s1457" style="position:absolute;left:2400;top:5220;width:2398;height:540;v-text-anchor:middle" fillcolor="#31849b [2408]">
              <v:textbox style="mso-next-textbox:#_x0000_s1457">
                <w:txbxContent>
                  <w:p w:rsidR="003863F9" w:rsidRPr="004C67CE" w:rsidRDefault="003863F9" w:rsidP="007612F9">
                    <w:pPr>
                      <w:spacing w:line="240" w:lineRule="auto"/>
                      <w:jc w:val="center"/>
                      <w:rPr>
                        <w:b/>
                        <w:color w:val="FFFFFF" w:themeColor="background1"/>
                        <w:szCs w:val="24"/>
                      </w:rPr>
                    </w:pPr>
                    <w:r w:rsidRPr="004C67CE">
                      <w:rPr>
                        <w:b/>
                        <w:color w:val="FFFFFF" w:themeColor="background1"/>
                        <w:szCs w:val="24"/>
                      </w:rPr>
                      <w:t>Question</w:t>
                    </w:r>
                  </w:p>
                </w:txbxContent>
              </v:textbox>
            </v:rect>
            <v:rect id="_x0000_s1458" style="position:absolute;left:2400;top:5940;width:2398;height:1800;v-text-anchor:middle">
              <v:textbox style="mso-next-textbox:#_x0000_s1458">
                <w:txbxContent>
                  <w:p w:rsidR="003863F9" w:rsidRPr="00CC660C" w:rsidRDefault="003863F9" w:rsidP="007612F9">
                    <w:pPr>
                      <w:spacing w:line="240" w:lineRule="auto"/>
                      <w:jc w:val="left"/>
                      <w:rPr>
                        <w:rFonts w:cs="Arial"/>
                        <w:sz w:val="22"/>
                        <w:szCs w:val="22"/>
                      </w:rPr>
                    </w:pPr>
                    <w:r>
                      <w:rPr>
                        <w:rFonts w:cs="Arial"/>
                        <w:sz w:val="22"/>
                        <w:szCs w:val="22"/>
                      </w:rPr>
                      <w:t>Have the current arrangements changed?</w:t>
                    </w:r>
                  </w:p>
                </w:txbxContent>
              </v:textbox>
            </v:rect>
            <v:rect id="_x0000_s1459" style="position:absolute;left:5040;top:5940;width:4320;height:1800;v-text-anchor:middle">
              <v:textbox style="mso-next-textbox:#_x0000_s1459">
                <w:txbxContent>
                  <w:p w:rsidR="003863F9" w:rsidRPr="00CC660C" w:rsidRDefault="003863F9" w:rsidP="007612F9">
                    <w:pPr>
                      <w:spacing w:before="60" w:after="60" w:line="240" w:lineRule="auto"/>
                      <w:contextualSpacing/>
                      <w:rPr>
                        <w:rFonts w:cs="Arial"/>
                        <w:sz w:val="20"/>
                      </w:rPr>
                    </w:pPr>
                    <w:r>
                      <w:rPr>
                        <w:rFonts w:cs="Arial"/>
                        <w:sz w:val="20"/>
                      </w:rPr>
                      <w:t>Confirm details</w:t>
                    </w:r>
                    <w:r w:rsidRPr="00CC660C">
                      <w:rPr>
                        <w:rFonts w:cs="Arial"/>
                        <w:sz w:val="20"/>
                      </w:rPr>
                      <w:t xml:space="preserve"> on</w:t>
                    </w:r>
                    <w:r>
                      <w:rPr>
                        <w:rFonts w:cs="Arial"/>
                        <w:sz w:val="20"/>
                      </w:rPr>
                      <w:t xml:space="preserve"> (for example)</w:t>
                    </w:r>
                    <w:r w:rsidRPr="00CC660C">
                      <w:rPr>
                        <w:rFonts w:cs="Arial"/>
                        <w:sz w:val="20"/>
                      </w:rPr>
                      <w:t>:</w:t>
                    </w:r>
                  </w:p>
                  <w:p w:rsidR="003863F9" w:rsidRDefault="003863F9" w:rsidP="007612F9">
                    <w:pPr>
                      <w:pStyle w:val="ListParagraph"/>
                      <w:numPr>
                        <w:ilvl w:val="0"/>
                        <w:numId w:val="7"/>
                      </w:numPr>
                      <w:spacing w:before="60" w:after="60" w:line="240" w:lineRule="auto"/>
                      <w:contextualSpacing/>
                      <w:rPr>
                        <w:sz w:val="20"/>
                      </w:rPr>
                    </w:pPr>
                    <w:r>
                      <w:rPr>
                        <w:sz w:val="20"/>
                      </w:rPr>
                      <w:t>Proposed changes to service model.</w:t>
                    </w:r>
                  </w:p>
                  <w:p w:rsidR="003863F9" w:rsidRDefault="003863F9" w:rsidP="007612F9">
                    <w:pPr>
                      <w:pStyle w:val="ListParagraph"/>
                      <w:numPr>
                        <w:ilvl w:val="0"/>
                        <w:numId w:val="7"/>
                      </w:numPr>
                      <w:spacing w:before="60" w:after="60" w:line="240" w:lineRule="auto"/>
                      <w:contextualSpacing/>
                      <w:rPr>
                        <w:sz w:val="20"/>
                      </w:rPr>
                    </w:pPr>
                    <w:r>
                      <w:rPr>
                        <w:sz w:val="20"/>
                      </w:rPr>
                      <w:t>Service activity changes.</w:t>
                    </w:r>
                  </w:p>
                  <w:p w:rsidR="003863F9" w:rsidRDefault="003863F9" w:rsidP="007612F9">
                    <w:pPr>
                      <w:pStyle w:val="ListParagraph"/>
                      <w:numPr>
                        <w:ilvl w:val="0"/>
                        <w:numId w:val="7"/>
                      </w:numPr>
                      <w:spacing w:before="60" w:after="60" w:line="240" w:lineRule="auto"/>
                      <w:contextualSpacing/>
                      <w:rPr>
                        <w:sz w:val="20"/>
                      </w:rPr>
                    </w:pPr>
                    <w:r>
                      <w:rPr>
                        <w:sz w:val="20"/>
                      </w:rPr>
                      <w:t>Service provider &amp; workforce changes.</w:t>
                    </w:r>
                  </w:p>
                  <w:p w:rsidR="003863F9" w:rsidRPr="00CC660C" w:rsidRDefault="003863F9" w:rsidP="007612F9">
                    <w:pPr>
                      <w:pStyle w:val="ListParagraph"/>
                      <w:numPr>
                        <w:ilvl w:val="0"/>
                        <w:numId w:val="7"/>
                      </w:numPr>
                      <w:spacing w:before="60" w:after="60" w:line="240" w:lineRule="auto"/>
                      <w:contextualSpacing/>
                      <w:rPr>
                        <w:sz w:val="20"/>
                      </w:rPr>
                    </w:pPr>
                    <w:r>
                      <w:rPr>
                        <w:sz w:val="20"/>
                      </w:rPr>
                      <w:t>Impact on Board’s assets.</w:t>
                    </w:r>
                    <w:r w:rsidRPr="00CC660C">
                      <w:rPr>
                        <w:sz w:val="20"/>
                      </w:rPr>
                      <w:t xml:space="preserve"> </w:t>
                    </w:r>
                  </w:p>
                  <w:p w:rsidR="003863F9" w:rsidRPr="00CF61AA" w:rsidRDefault="003863F9" w:rsidP="007612F9"/>
                </w:txbxContent>
              </v:textbox>
            </v:rect>
            <v:rect id="_x0000_s1460" style="position:absolute;left:2402;top:7920;width:2398;height:1260;v-text-anchor:middle">
              <v:textbox style="mso-next-textbox:#_x0000_s1460">
                <w:txbxContent>
                  <w:p w:rsidR="003863F9" w:rsidRPr="00CC660C" w:rsidRDefault="003863F9" w:rsidP="007612F9">
                    <w:pPr>
                      <w:spacing w:line="240" w:lineRule="auto"/>
                      <w:jc w:val="left"/>
                      <w:rPr>
                        <w:rFonts w:cs="Arial"/>
                        <w:sz w:val="22"/>
                        <w:szCs w:val="22"/>
                      </w:rPr>
                    </w:pPr>
                    <w:r w:rsidRPr="00CC660C">
                      <w:rPr>
                        <w:rFonts w:cs="Arial"/>
                        <w:sz w:val="22"/>
                        <w:szCs w:val="22"/>
                      </w:rPr>
                      <w:t xml:space="preserve">Is the </w:t>
                    </w:r>
                    <w:r>
                      <w:rPr>
                        <w:rFonts w:cs="Arial"/>
                        <w:sz w:val="22"/>
                        <w:szCs w:val="22"/>
                      </w:rPr>
                      <w:t>case for change still valid?</w:t>
                    </w:r>
                  </w:p>
                </w:txbxContent>
              </v:textbox>
            </v:rect>
            <v:rect id="_x0000_s1461" style="position:absolute;left:5040;top:7920;width:4320;height:1260;v-text-anchor:middle">
              <v:textbox style="mso-next-textbox:#_x0000_s1461">
                <w:txbxContent>
                  <w:p w:rsidR="003863F9" w:rsidRDefault="003863F9" w:rsidP="007612F9">
                    <w:pPr>
                      <w:spacing w:before="60" w:after="60" w:line="240" w:lineRule="auto"/>
                      <w:contextualSpacing/>
                      <w:jc w:val="left"/>
                      <w:rPr>
                        <w:rFonts w:cs="Arial"/>
                        <w:sz w:val="20"/>
                      </w:rPr>
                    </w:pPr>
                    <w:r>
                      <w:rPr>
                        <w:rFonts w:cs="Arial"/>
                        <w:sz w:val="20"/>
                      </w:rPr>
                      <w:t>Summary confirmation of the:</w:t>
                    </w:r>
                  </w:p>
                  <w:p w:rsidR="003863F9" w:rsidRDefault="003863F9" w:rsidP="007612F9">
                    <w:pPr>
                      <w:pStyle w:val="ListParagraph"/>
                      <w:numPr>
                        <w:ilvl w:val="0"/>
                        <w:numId w:val="7"/>
                      </w:numPr>
                      <w:spacing w:before="60" w:after="60" w:line="276" w:lineRule="auto"/>
                      <w:contextualSpacing/>
                      <w:rPr>
                        <w:sz w:val="20"/>
                      </w:rPr>
                    </w:pPr>
                    <w:r>
                      <w:rPr>
                        <w:sz w:val="20"/>
                      </w:rPr>
                      <w:t>Need for change.</w:t>
                    </w:r>
                  </w:p>
                  <w:p w:rsidR="003863F9" w:rsidRPr="00CF61AA" w:rsidRDefault="003863F9" w:rsidP="007612F9">
                    <w:pPr>
                      <w:pStyle w:val="ListParagraph"/>
                      <w:numPr>
                        <w:ilvl w:val="0"/>
                        <w:numId w:val="7"/>
                      </w:numPr>
                      <w:spacing w:before="60" w:after="60" w:line="276" w:lineRule="auto"/>
                      <w:contextualSpacing/>
                      <w:rPr>
                        <w:sz w:val="20"/>
                      </w:rPr>
                    </w:pPr>
                    <w:r>
                      <w:rPr>
                        <w:sz w:val="20"/>
                      </w:rPr>
                      <w:t>Investment objectives.</w:t>
                    </w:r>
                  </w:p>
                </w:txbxContent>
              </v:textbox>
            </v:rect>
            <v:rect id="_x0000_s1462" style="position:absolute;left:2402;top:9360;width:2398;height:1440;v-text-anchor:middle">
              <v:textbox style="mso-next-textbox:#_x0000_s1462">
                <w:txbxContent>
                  <w:p w:rsidR="003863F9" w:rsidRPr="00CC660C" w:rsidRDefault="003863F9" w:rsidP="007612F9">
                    <w:pPr>
                      <w:spacing w:line="240" w:lineRule="auto"/>
                      <w:jc w:val="left"/>
                      <w:rPr>
                        <w:rFonts w:cs="Arial"/>
                        <w:sz w:val="22"/>
                        <w:szCs w:val="22"/>
                      </w:rPr>
                    </w:pPr>
                    <w:r>
                      <w:rPr>
                        <w:rFonts w:cs="Arial"/>
                        <w:sz w:val="22"/>
                        <w:szCs w:val="22"/>
                      </w:rPr>
                      <w:t xml:space="preserve">Is the choice of preferred strategic / service solution(s) still valid? </w:t>
                    </w:r>
                  </w:p>
                </w:txbxContent>
              </v:textbox>
            </v:rect>
            <v:rect id="_x0000_s1463" style="position:absolute;left:5040;top:9360;width:4320;height:1440;v-text-anchor:middle">
              <v:textbox style="mso-next-textbox:#_x0000_s1463">
                <w:txbxContent>
                  <w:p w:rsidR="003863F9" w:rsidRDefault="003863F9" w:rsidP="007612F9">
                    <w:pPr>
                      <w:spacing w:before="60" w:after="60" w:line="240" w:lineRule="auto"/>
                      <w:contextualSpacing/>
                      <w:jc w:val="left"/>
                      <w:rPr>
                        <w:rFonts w:cs="Arial"/>
                        <w:sz w:val="20"/>
                      </w:rPr>
                    </w:pPr>
                    <w:proofErr w:type="gramStart"/>
                    <w:r>
                      <w:rPr>
                        <w:rFonts w:cs="Arial"/>
                        <w:sz w:val="20"/>
                      </w:rPr>
                      <w:t>Confirmation of the preferred strategic / service solution(s).</w:t>
                    </w:r>
                    <w:proofErr w:type="gramEnd"/>
                  </w:p>
                  <w:p w:rsidR="003863F9" w:rsidRPr="005B25B9" w:rsidRDefault="003863F9" w:rsidP="007612F9"/>
                </w:txbxContent>
              </v:textbox>
            </v:rect>
            <w10:wrap type="topAndBottom"/>
          </v:group>
        </w:pict>
      </w:r>
    </w:p>
    <w:p w:rsidR="007612F9" w:rsidRDefault="007612F9" w:rsidP="007612F9">
      <w:pPr>
        <w:pStyle w:val="Heading2"/>
      </w:pPr>
      <w:r>
        <w:t>Introduction to the Outline Business Case (OBC)</w:t>
      </w:r>
    </w:p>
    <w:p w:rsidR="007612F9" w:rsidRDefault="007612F9" w:rsidP="007612F9">
      <w:pPr>
        <w:pStyle w:val="StandardParagraph"/>
      </w:pPr>
      <w:r>
        <w:t xml:space="preserve">The preceding Initial Agreement (IA) for this proposal will have identified and/or confirmed the proposal’s strategic / service solution(s), from which this OBC will develop and test the value for money of the implementation options for that solution(s).  Typically, this may include options that retain and reuse existing assets, the purchase or construction of new facilities, and/or different phasing of works.  It will not involve testing of different procurement methods as these are </w:t>
      </w:r>
      <w:r>
        <w:lastRenderedPageBreak/>
        <w:t xml:space="preserve">predetermined within </w:t>
      </w:r>
      <w:proofErr w:type="spellStart"/>
      <w:r>
        <w:t>NHSScotland</w:t>
      </w:r>
      <w:proofErr w:type="spellEnd"/>
      <w:r>
        <w:t xml:space="preserve"> based on the value and type of project being considered (further details of this are included in the Commercial Case </w:t>
      </w:r>
      <w:r w:rsidR="00AF208A">
        <w:t>section</w:t>
      </w:r>
      <w:r>
        <w:t>).</w:t>
      </w:r>
    </w:p>
    <w:p w:rsidR="007612F9" w:rsidRDefault="007612F9" w:rsidP="007612F9">
      <w:pPr>
        <w:pStyle w:val="Heading2"/>
      </w:pPr>
      <w:r>
        <w:t>Revisiting the Strategic Case</w:t>
      </w:r>
    </w:p>
    <w:p w:rsidR="007612F9" w:rsidRDefault="007612F9" w:rsidP="007612F9">
      <w:pPr>
        <w:pStyle w:val="StandardParagraph"/>
      </w:pPr>
      <w:r>
        <w:t>The case for change will need to be reviewed and revised to reflect any changes due to:</w:t>
      </w:r>
    </w:p>
    <w:p w:rsidR="007612F9" w:rsidRDefault="007612F9" w:rsidP="007612F9">
      <w:pPr>
        <w:pStyle w:val="StandardBullet0"/>
      </w:pPr>
      <w:r>
        <w:t>Any conditions made as part of the earlier approval of the Initial Agreement.</w:t>
      </w:r>
    </w:p>
    <w:p w:rsidR="007612F9" w:rsidRDefault="007612F9" w:rsidP="007612F9">
      <w:pPr>
        <w:pStyle w:val="StandardBullet0"/>
      </w:pPr>
      <w:r>
        <w:t>Stakeholders influencing the scope, content, or assumptions behind the proposal following earlier engagement on the Initial Agreement.</w:t>
      </w:r>
    </w:p>
    <w:p w:rsidR="007612F9" w:rsidRDefault="007612F9" w:rsidP="007612F9">
      <w:pPr>
        <w:pStyle w:val="StandardBullet0"/>
      </w:pPr>
      <w:r>
        <w:t>The impact of the time taken between approval of the IA and subsequent commencement of this OBC.</w:t>
      </w:r>
    </w:p>
    <w:p w:rsidR="007612F9" w:rsidRDefault="007612F9" w:rsidP="007612F9">
      <w:pPr>
        <w:pStyle w:val="StandardBullet0"/>
      </w:pPr>
      <w:r>
        <w:t>Further details becoming available to confirm or change some of the early stage assumptions made when describing the case for change.</w:t>
      </w:r>
    </w:p>
    <w:p w:rsidR="007612F9" w:rsidRDefault="007612F9" w:rsidP="007612F9">
      <w:pPr>
        <w:pStyle w:val="StandardParagraph"/>
      </w:pPr>
      <w:r>
        <w:t xml:space="preserve">The intention of the Strategic Case at OBC stage is therefore to provide an update on that described within the Initial Agreement.  </w:t>
      </w:r>
      <w:proofErr w:type="gramStart"/>
      <w:r>
        <w:t>If no material changes have occurred then this can be stated.</w:t>
      </w:r>
      <w:proofErr w:type="gramEnd"/>
      <w:r>
        <w:t xml:space="preserve">  The following sections provide further guidance on how to update the Strategic Case for the OBC.</w:t>
      </w:r>
    </w:p>
    <w:p w:rsidR="007612F9" w:rsidRPr="00F8102C" w:rsidRDefault="007612F9" w:rsidP="007612F9">
      <w:pPr>
        <w:pStyle w:val="StandardParagraph"/>
      </w:pPr>
    </w:p>
    <w:p w:rsidR="007612F9" w:rsidRPr="00057B74" w:rsidRDefault="007612F9" w:rsidP="007612F9">
      <w:pPr>
        <w:pStyle w:val="Heading2"/>
        <w:rPr>
          <w:sz w:val="28"/>
          <w:szCs w:val="28"/>
        </w:rPr>
      </w:pPr>
      <w:r>
        <w:br w:type="page"/>
      </w:r>
    </w:p>
    <w:p w:rsidR="007612F9" w:rsidRDefault="007F6BBC" w:rsidP="007612F9">
      <w:pPr>
        <w:pStyle w:val="Heading1"/>
      </w:pPr>
      <w:r>
        <w:rPr>
          <w:noProof/>
          <w:lang w:eastAsia="en-GB"/>
        </w:rPr>
        <w:lastRenderedPageBreak/>
        <w:pict>
          <v:group id="_x0000_s1441" style="position:absolute;left:0;text-align:left;margin-left:0;margin-top:37.35pt;width:396pt;height:126.45pt;z-index:251872256" coordorigin="1440,2304" coordsize="7920,2520">
            <v:rect id="_x0000_s1442" style="position:absolute;left:1440;top:3024;width:720;height:1800" fillcolor="#bfbfbf [2412]">
              <v:textbox style="layout-flow:vertical;mso-layout-flow-alt:bottom-to-top;mso-next-textbox:#_x0000_s1442">
                <w:txbxContent>
                  <w:p w:rsidR="003863F9" w:rsidRPr="004F10D7" w:rsidRDefault="003863F9" w:rsidP="007612F9">
                    <w:pPr>
                      <w:spacing w:before="120" w:after="120"/>
                      <w:jc w:val="center"/>
                      <w:rPr>
                        <w:rFonts w:cs="Arial"/>
                        <w:b/>
                        <w:sz w:val="18"/>
                        <w:szCs w:val="18"/>
                      </w:rPr>
                    </w:pPr>
                    <w:r>
                      <w:rPr>
                        <w:rFonts w:cs="Arial"/>
                        <w:b/>
                        <w:sz w:val="18"/>
                        <w:szCs w:val="18"/>
                      </w:rPr>
                      <w:t>Strategic Context</w:t>
                    </w:r>
                  </w:p>
                </w:txbxContent>
              </v:textbox>
            </v:rect>
            <v:rect id="_x0000_s1443" style="position:absolute;left:5040;top:2304;width:4320;height:540" fillcolor="#31849b [2408]">
              <v:textbox style="mso-next-textbox:#_x0000_s1443">
                <w:txbxContent>
                  <w:p w:rsidR="003863F9" w:rsidRPr="00057B74" w:rsidRDefault="003863F9" w:rsidP="007612F9">
                    <w:pPr>
                      <w:jc w:val="center"/>
                      <w:rPr>
                        <w:b/>
                        <w:color w:val="FFFFFF" w:themeColor="background1"/>
                        <w:szCs w:val="24"/>
                      </w:rPr>
                    </w:pPr>
                    <w:r w:rsidRPr="00057B74">
                      <w:rPr>
                        <w:b/>
                        <w:color w:val="FFFFFF" w:themeColor="background1"/>
                        <w:szCs w:val="24"/>
                      </w:rPr>
                      <w:t>Response</w:t>
                    </w:r>
                  </w:p>
                </w:txbxContent>
              </v:textbox>
            </v:rect>
            <v:rect id="_x0000_s1444" style="position:absolute;left:2342;top:2304;width:2518;height:540" fillcolor="#31849b [2408]">
              <v:textbox style="mso-next-textbox:#_x0000_s1444">
                <w:txbxContent>
                  <w:p w:rsidR="003863F9" w:rsidRPr="00057B74" w:rsidRDefault="003863F9" w:rsidP="007612F9">
                    <w:pPr>
                      <w:spacing w:line="240" w:lineRule="auto"/>
                      <w:jc w:val="center"/>
                      <w:rPr>
                        <w:b/>
                        <w:color w:val="FFFFFF" w:themeColor="background1"/>
                        <w:szCs w:val="24"/>
                      </w:rPr>
                    </w:pPr>
                    <w:r w:rsidRPr="00057B74">
                      <w:rPr>
                        <w:b/>
                        <w:color w:val="FFFFFF" w:themeColor="background1"/>
                        <w:szCs w:val="24"/>
                      </w:rPr>
                      <w:t>Question</w:t>
                    </w:r>
                  </w:p>
                </w:txbxContent>
              </v:textbox>
            </v:rect>
            <v:rect id="_x0000_s1445" style="position:absolute;left:2342;top:3024;width:2518;height:1800">
              <v:textbox style="mso-next-textbox:#_x0000_s1445">
                <w:txbxContent>
                  <w:p w:rsidR="003863F9" w:rsidRPr="00CC660C" w:rsidRDefault="003863F9" w:rsidP="007612F9">
                    <w:pPr>
                      <w:spacing w:before="420" w:line="240" w:lineRule="auto"/>
                      <w:jc w:val="left"/>
                      <w:rPr>
                        <w:rFonts w:cs="Arial"/>
                        <w:sz w:val="22"/>
                        <w:szCs w:val="22"/>
                      </w:rPr>
                    </w:pPr>
                    <w:r w:rsidRPr="00CC660C">
                      <w:rPr>
                        <w:rFonts w:cs="Arial"/>
                        <w:sz w:val="22"/>
                        <w:szCs w:val="22"/>
                      </w:rPr>
                      <w:t>Ha</w:t>
                    </w:r>
                    <w:r>
                      <w:rPr>
                        <w:rFonts w:cs="Arial"/>
                        <w:sz w:val="22"/>
                        <w:szCs w:val="22"/>
                      </w:rPr>
                      <w:t>ve the current arrangements changed?</w:t>
                    </w:r>
                  </w:p>
                </w:txbxContent>
              </v:textbox>
            </v:rect>
            <v:rect id="_x0000_s1446" style="position:absolute;left:5040;top:3024;width:4320;height:1800">
              <v:textbox style="mso-next-textbox:#_x0000_s1446">
                <w:txbxContent>
                  <w:p w:rsidR="003863F9" w:rsidRPr="00CC660C" w:rsidRDefault="003863F9" w:rsidP="007612F9">
                    <w:pPr>
                      <w:spacing w:before="60" w:after="60" w:line="240" w:lineRule="auto"/>
                      <w:contextualSpacing/>
                      <w:rPr>
                        <w:rFonts w:cs="Arial"/>
                        <w:sz w:val="20"/>
                      </w:rPr>
                    </w:pPr>
                    <w:r>
                      <w:rPr>
                        <w:rFonts w:cs="Arial"/>
                        <w:sz w:val="20"/>
                      </w:rPr>
                      <w:t>Confirm details</w:t>
                    </w:r>
                    <w:r w:rsidRPr="00CC660C">
                      <w:rPr>
                        <w:rFonts w:cs="Arial"/>
                        <w:sz w:val="20"/>
                      </w:rPr>
                      <w:t xml:space="preserve"> on</w:t>
                    </w:r>
                    <w:r>
                      <w:rPr>
                        <w:rFonts w:cs="Arial"/>
                        <w:sz w:val="20"/>
                      </w:rPr>
                      <w:t xml:space="preserve"> (for example)</w:t>
                    </w:r>
                    <w:r w:rsidRPr="00CC660C">
                      <w:rPr>
                        <w:rFonts w:cs="Arial"/>
                        <w:sz w:val="20"/>
                      </w:rPr>
                      <w:t>:</w:t>
                    </w:r>
                  </w:p>
                  <w:p w:rsidR="003863F9" w:rsidRDefault="003863F9" w:rsidP="007612F9">
                    <w:pPr>
                      <w:pStyle w:val="ListParagraph"/>
                      <w:numPr>
                        <w:ilvl w:val="0"/>
                        <w:numId w:val="7"/>
                      </w:numPr>
                      <w:spacing w:before="60" w:after="60" w:line="240" w:lineRule="auto"/>
                      <w:contextualSpacing/>
                      <w:rPr>
                        <w:sz w:val="20"/>
                      </w:rPr>
                    </w:pPr>
                    <w:r>
                      <w:rPr>
                        <w:sz w:val="20"/>
                      </w:rPr>
                      <w:t>Proposed changes to service model.</w:t>
                    </w:r>
                  </w:p>
                  <w:p w:rsidR="003863F9" w:rsidRDefault="003863F9" w:rsidP="007612F9">
                    <w:pPr>
                      <w:pStyle w:val="ListParagraph"/>
                      <w:numPr>
                        <w:ilvl w:val="0"/>
                        <w:numId w:val="7"/>
                      </w:numPr>
                      <w:spacing w:before="60" w:after="60" w:line="240" w:lineRule="auto"/>
                      <w:contextualSpacing/>
                      <w:rPr>
                        <w:sz w:val="20"/>
                      </w:rPr>
                    </w:pPr>
                    <w:r>
                      <w:rPr>
                        <w:sz w:val="20"/>
                      </w:rPr>
                      <w:t>Service activity changes.</w:t>
                    </w:r>
                  </w:p>
                  <w:p w:rsidR="003863F9" w:rsidRDefault="003863F9" w:rsidP="007612F9">
                    <w:pPr>
                      <w:pStyle w:val="ListParagraph"/>
                      <w:numPr>
                        <w:ilvl w:val="0"/>
                        <w:numId w:val="7"/>
                      </w:numPr>
                      <w:spacing w:before="60" w:after="60" w:line="240" w:lineRule="auto"/>
                      <w:contextualSpacing/>
                      <w:rPr>
                        <w:sz w:val="20"/>
                      </w:rPr>
                    </w:pPr>
                    <w:r>
                      <w:rPr>
                        <w:sz w:val="20"/>
                      </w:rPr>
                      <w:t>Service provider &amp; workforce changes.</w:t>
                    </w:r>
                  </w:p>
                  <w:p w:rsidR="003863F9" w:rsidRPr="00CC660C" w:rsidRDefault="003863F9" w:rsidP="007612F9">
                    <w:pPr>
                      <w:pStyle w:val="ListParagraph"/>
                      <w:numPr>
                        <w:ilvl w:val="0"/>
                        <w:numId w:val="7"/>
                      </w:numPr>
                      <w:spacing w:before="60" w:after="60" w:line="240" w:lineRule="auto"/>
                      <w:contextualSpacing/>
                      <w:rPr>
                        <w:sz w:val="20"/>
                      </w:rPr>
                    </w:pPr>
                    <w:r>
                      <w:rPr>
                        <w:sz w:val="20"/>
                      </w:rPr>
                      <w:t>Impact on Board’s assets.</w:t>
                    </w:r>
                    <w:r w:rsidRPr="00CC660C">
                      <w:rPr>
                        <w:sz w:val="20"/>
                      </w:rPr>
                      <w:t xml:space="preserve"> </w:t>
                    </w:r>
                  </w:p>
                </w:txbxContent>
              </v:textbox>
            </v:rect>
            <w10:wrap type="topAndBottom"/>
          </v:group>
        </w:pict>
      </w:r>
      <w:r w:rsidR="007612F9">
        <w:t>Have the current arrangements changed?</w:t>
      </w:r>
    </w:p>
    <w:p w:rsidR="007612F9" w:rsidRDefault="007612F9" w:rsidP="007612F9">
      <w:pPr>
        <w:pStyle w:val="NoSpacing"/>
      </w:pPr>
    </w:p>
    <w:p w:rsidR="007612F9" w:rsidRDefault="007612F9" w:rsidP="007612F9">
      <w:pPr>
        <w:pStyle w:val="StandardParagraph"/>
      </w:pPr>
      <w:r>
        <w:t xml:space="preserve">The current arrangements appropriately express details of the ‘Do Nothing’ solution, which can be used as a benchmark to demonstrate </w:t>
      </w:r>
      <w:r w:rsidR="00CC44FE">
        <w:t>the benefits and value</w:t>
      </w:r>
      <w:r>
        <w:t xml:space="preserve"> of other solutions.  It is therefore important that the description of the current arrangements is kept up to date throughout the business case process.</w:t>
      </w:r>
    </w:p>
    <w:p w:rsidR="007612F9" w:rsidRDefault="007612F9" w:rsidP="007612F9">
      <w:pPr>
        <w:pStyle w:val="StandardParagraph"/>
      </w:pPr>
      <w:r>
        <w:t>Completion of this section will be dependent upon the size, complexity, and overall risk associated with the programme or project.</w:t>
      </w:r>
    </w:p>
    <w:p w:rsidR="007612F9" w:rsidRDefault="007612F9" w:rsidP="007612F9">
      <w:pPr>
        <w:pStyle w:val="StandardParagraph"/>
      </w:pPr>
      <w:r>
        <w:t>For a relatively straightforward project, the current arrangements may have already been fully explained at IA stage, therefore, only a brief summary of those details and how they are likely to change is required at OBC stage, alongside confirmation that nothing of material importance has changed since the IA.</w:t>
      </w:r>
    </w:p>
    <w:p w:rsidR="007612F9" w:rsidRDefault="007612F9" w:rsidP="007612F9">
      <w:pPr>
        <w:pStyle w:val="StandardParagraph"/>
      </w:pPr>
      <w:r>
        <w:t>An update on the design quality objectives still needs to be provided to take account of progress with the design development.</w:t>
      </w:r>
    </w:p>
    <w:p w:rsidR="007612F9" w:rsidRDefault="007612F9" w:rsidP="007612F9">
      <w:pPr>
        <w:pStyle w:val="StandardParagraph"/>
      </w:pPr>
      <w:r>
        <w:t>For a more complex project, details of the current arrangements may not have been fully developed at IA stage and therefore needs to be presented at this stage of the business case process.  Typically, this may include more details of the existing and proposed service model, service activity levels, and the expected impact on the NHS Board’s assets, (this may include an update on the design quality objectives - see the NDAP and AEDET guidance for further details).</w:t>
      </w:r>
    </w:p>
    <w:p w:rsidR="007612F9" w:rsidRDefault="007612F9" w:rsidP="007612F9">
      <w:pPr>
        <w:pStyle w:val="StandardParagraph"/>
      </w:pPr>
    </w:p>
    <w:p w:rsidR="007612F9" w:rsidRDefault="007612F9" w:rsidP="007612F9">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br w:type="page"/>
      </w:r>
    </w:p>
    <w:p w:rsidR="007612F9" w:rsidRDefault="007612F9" w:rsidP="007612F9">
      <w:pPr>
        <w:pStyle w:val="Heading1"/>
      </w:pPr>
      <w:r>
        <w:lastRenderedPageBreak/>
        <w:t>Is the case for change still valid?</w:t>
      </w:r>
    </w:p>
    <w:p w:rsidR="007612F9" w:rsidRDefault="007F6BBC" w:rsidP="007612F9">
      <w:pPr>
        <w:pStyle w:val="NoSpacing"/>
      </w:pPr>
      <w:r>
        <w:rPr>
          <w:noProof/>
          <w:lang w:eastAsia="en-GB"/>
        </w:rPr>
        <w:pict>
          <v:group id="_x0000_s1632" style="position:absolute;left:0;text-align:left;margin-left:0;margin-top:2.35pt;width:396pt;height:126pt;z-index:251931648" coordorigin="1440,2340" coordsize="7920,2520">
            <v:rect id="_x0000_s1633" style="position:absolute;left:1440;top:3060;width:720;height:1800" fillcolor="#bfbfbf [2412]">
              <v:textbox style="layout-flow:vertical;mso-layout-flow-alt:bottom-to-top;mso-next-textbox:#_x0000_s1633">
                <w:txbxContent>
                  <w:p w:rsidR="003863F9" w:rsidRPr="004F10D7" w:rsidRDefault="003863F9" w:rsidP="0081629E">
                    <w:pPr>
                      <w:spacing w:before="120" w:after="120"/>
                      <w:jc w:val="center"/>
                      <w:rPr>
                        <w:rFonts w:cs="Arial"/>
                        <w:b/>
                        <w:sz w:val="18"/>
                        <w:szCs w:val="18"/>
                      </w:rPr>
                    </w:pPr>
                    <w:r>
                      <w:rPr>
                        <w:rFonts w:cs="Arial"/>
                        <w:b/>
                        <w:sz w:val="18"/>
                        <w:szCs w:val="18"/>
                      </w:rPr>
                      <w:t>Strategic Context</w:t>
                    </w:r>
                  </w:p>
                </w:txbxContent>
              </v:textbox>
            </v:rect>
            <v:rect id="_x0000_s1634" style="position:absolute;left:5040;top:2340;width:4320;height:540" fillcolor="#31849b [2408]">
              <v:textbox style="mso-next-textbox:#_x0000_s1634">
                <w:txbxContent>
                  <w:p w:rsidR="003863F9" w:rsidRPr="00CB432C" w:rsidRDefault="003863F9" w:rsidP="0081629E">
                    <w:pPr>
                      <w:jc w:val="center"/>
                      <w:rPr>
                        <w:b/>
                        <w:color w:val="FFFFFF" w:themeColor="background1"/>
                        <w:szCs w:val="24"/>
                      </w:rPr>
                    </w:pPr>
                    <w:r w:rsidRPr="00CB432C">
                      <w:rPr>
                        <w:b/>
                        <w:color w:val="FFFFFF" w:themeColor="background1"/>
                        <w:szCs w:val="24"/>
                      </w:rPr>
                      <w:t>Response</w:t>
                    </w:r>
                  </w:p>
                </w:txbxContent>
              </v:textbox>
            </v:rect>
            <v:rect id="_x0000_s1635" style="position:absolute;left:2342;top:2340;width:2518;height:540" fillcolor="#31849b [2408]">
              <v:textbox style="mso-next-textbox:#_x0000_s1635">
                <w:txbxContent>
                  <w:p w:rsidR="003863F9" w:rsidRPr="00CB432C" w:rsidRDefault="003863F9" w:rsidP="0081629E">
                    <w:pPr>
                      <w:spacing w:line="240" w:lineRule="auto"/>
                      <w:jc w:val="center"/>
                      <w:rPr>
                        <w:b/>
                        <w:color w:val="FFFFFF" w:themeColor="background1"/>
                        <w:szCs w:val="24"/>
                      </w:rPr>
                    </w:pPr>
                    <w:r w:rsidRPr="00CB432C">
                      <w:rPr>
                        <w:b/>
                        <w:color w:val="FFFFFF" w:themeColor="background1"/>
                        <w:szCs w:val="24"/>
                      </w:rPr>
                      <w:t>Question</w:t>
                    </w:r>
                  </w:p>
                </w:txbxContent>
              </v:textbox>
            </v:rect>
            <v:rect id="_x0000_s1636" style="position:absolute;left:2340;top:3060;width:2518;height:1800;v-text-anchor:middle">
              <v:textbox style="mso-next-textbox:#_x0000_s1636">
                <w:txbxContent>
                  <w:p w:rsidR="003863F9" w:rsidRPr="00CC660C" w:rsidRDefault="003863F9" w:rsidP="0081629E">
                    <w:pPr>
                      <w:spacing w:line="240" w:lineRule="auto"/>
                      <w:jc w:val="left"/>
                      <w:rPr>
                        <w:rFonts w:cs="Arial"/>
                        <w:sz w:val="22"/>
                        <w:szCs w:val="22"/>
                      </w:rPr>
                    </w:pPr>
                    <w:r w:rsidRPr="00CC660C">
                      <w:rPr>
                        <w:rFonts w:cs="Arial"/>
                        <w:sz w:val="22"/>
                        <w:szCs w:val="22"/>
                      </w:rPr>
                      <w:t>Is</w:t>
                    </w:r>
                    <w:r>
                      <w:rPr>
                        <w:rFonts w:cs="Arial"/>
                        <w:sz w:val="22"/>
                        <w:szCs w:val="22"/>
                      </w:rPr>
                      <w:t xml:space="preserve"> the case for change still valid</w:t>
                    </w:r>
                    <w:r w:rsidRPr="00CC660C">
                      <w:rPr>
                        <w:rFonts w:cs="Arial"/>
                        <w:sz w:val="22"/>
                        <w:szCs w:val="22"/>
                      </w:rPr>
                      <w:t>?</w:t>
                    </w:r>
                  </w:p>
                </w:txbxContent>
              </v:textbox>
            </v:rect>
            <v:rect id="_x0000_s1637" style="position:absolute;left:5040;top:3060;width:4320;height:1800;v-text-anchor:middle">
              <v:textbox style="mso-next-textbox:#_x0000_s1637">
                <w:txbxContent>
                  <w:p w:rsidR="003863F9" w:rsidRDefault="003863F9" w:rsidP="0081629E">
                    <w:pPr>
                      <w:spacing w:before="60" w:after="60" w:line="240" w:lineRule="auto"/>
                      <w:contextualSpacing/>
                      <w:jc w:val="left"/>
                      <w:rPr>
                        <w:rFonts w:cs="Arial"/>
                        <w:sz w:val="20"/>
                      </w:rPr>
                    </w:pPr>
                    <w:r>
                      <w:rPr>
                        <w:rFonts w:cs="Arial"/>
                        <w:sz w:val="20"/>
                      </w:rPr>
                      <w:t>Summary confirmation of the:</w:t>
                    </w:r>
                  </w:p>
                  <w:p w:rsidR="003863F9" w:rsidRDefault="003863F9" w:rsidP="0081629E">
                    <w:pPr>
                      <w:pStyle w:val="ListParagraph"/>
                      <w:numPr>
                        <w:ilvl w:val="0"/>
                        <w:numId w:val="7"/>
                      </w:numPr>
                      <w:spacing w:before="60" w:after="60" w:line="276" w:lineRule="auto"/>
                      <w:contextualSpacing/>
                      <w:rPr>
                        <w:sz w:val="20"/>
                      </w:rPr>
                    </w:pPr>
                    <w:r>
                      <w:rPr>
                        <w:sz w:val="20"/>
                      </w:rPr>
                      <w:t>Need for change.</w:t>
                    </w:r>
                  </w:p>
                  <w:p w:rsidR="003863F9" w:rsidRPr="00654B0F" w:rsidRDefault="003863F9" w:rsidP="0081629E">
                    <w:pPr>
                      <w:pStyle w:val="ListParagraph"/>
                      <w:numPr>
                        <w:ilvl w:val="0"/>
                        <w:numId w:val="7"/>
                      </w:numPr>
                      <w:spacing w:before="60" w:after="60" w:line="276" w:lineRule="auto"/>
                      <w:contextualSpacing/>
                      <w:rPr>
                        <w:sz w:val="20"/>
                      </w:rPr>
                    </w:pPr>
                    <w:r>
                      <w:rPr>
                        <w:sz w:val="20"/>
                      </w:rPr>
                      <w:t>Investment objectives.</w:t>
                    </w:r>
                  </w:p>
                </w:txbxContent>
              </v:textbox>
            </v:rect>
            <w10:wrap type="topAndBottom"/>
          </v:group>
        </w:pict>
      </w:r>
    </w:p>
    <w:p w:rsidR="007612F9" w:rsidRDefault="007612F9" w:rsidP="007612F9">
      <w:pPr>
        <w:pStyle w:val="StandardParagraph"/>
      </w:pPr>
      <w:r>
        <w:t>The case for change and reasons why this proposal is a good thing to do should have been fully developed and described at Initial Agreement stage; therefore, this section is aimed at confirming the current status of these details.</w:t>
      </w:r>
    </w:p>
    <w:p w:rsidR="007612F9" w:rsidRDefault="007612F9" w:rsidP="007612F9">
      <w:pPr>
        <w:pStyle w:val="StandardParagraph"/>
      </w:pPr>
      <w:r>
        <w:t>A short summary, taken from the IA, is to be provided of the problems needing to be addressed, the opportunities for improvement, and any other factor influencing this proposal and driving the need for change.  The proposal’s Investment Objectives describing what needs to be achieved to deliver the necessary changes should also be described</w:t>
      </w:r>
    </w:p>
    <w:p w:rsidR="007612F9" w:rsidRDefault="007612F9" w:rsidP="007612F9">
      <w:pPr>
        <w:pStyle w:val="StandardParagraph"/>
      </w:pPr>
      <w:r>
        <w:t xml:space="preserve">Commentary is then needed on whether or not any material change has occurred which change these drivers for change or subsequent investment objectives (including details of how).  </w:t>
      </w:r>
    </w:p>
    <w:p w:rsidR="007612F9" w:rsidRDefault="007612F9" w:rsidP="007612F9">
      <w:pPr>
        <w:pStyle w:val="StandardParagraph"/>
      </w:pPr>
      <w:r>
        <w:t>The benefits and risks to success previously described in this section of the Initial Agreement will need to be further developed as part of the Management Case for the OBC.</w:t>
      </w:r>
    </w:p>
    <w:p w:rsidR="007612F9" w:rsidRDefault="007612F9" w:rsidP="007612F9">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pPr>
      <w:r>
        <w:rPr>
          <w:rFonts w:eastAsiaTheme="majorEastAsia" w:cstheme="majorBidi"/>
          <w:b/>
          <w:bCs/>
          <w:color w:val="000000" w:themeColor="text1"/>
          <w:sz w:val="28"/>
          <w:szCs w:val="28"/>
        </w:rPr>
        <w:br w:type="page"/>
      </w:r>
    </w:p>
    <w:p w:rsidR="007612F9" w:rsidRDefault="007F6BBC" w:rsidP="007612F9">
      <w:pPr>
        <w:pStyle w:val="Heading1"/>
      </w:pPr>
      <w:r>
        <w:rPr>
          <w:noProof/>
          <w:lang w:eastAsia="en-GB"/>
        </w:rPr>
        <w:lastRenderedPageBreak/>
        <w:pict>
          <v:group id="_x0000_s1626" style="position:absolute;left:0;text-align:left;margin-left:0;margin-top:38.5pt;width:396pt;height:126pt;z-index:251930624" coordorigin="1440,2340" coordsize="7920,2520">
            <v:rect id="_x0000_s1627" style="position:absolute;left:1440;top:3060;width:720;height:1800" fillcolor="#bfbfbf [2412]">
              <v:textbox style="layout-flow:vertical;mso-layout-flow-alt:bottom-to-top;mso-next-textbox:#_x0000_s1627">
                <w:txbxContent>
                  <w:p w:rsidR="003863F9" w:rsidRPr="004F10D7" w:rsidRDefault="003863F9" w:rsidP="0081629E">
                    <w:pPr>
                      <w:spacing w:before="120" w:after="120"/>
                      <w:jc w:val="center"/>
                      <w:rPr>
                        <w:rFonts w:cs="Arial"/>
                        <w:b/>
                        <w:sz w:val="18"/>
                        <w:szCs w:val="18"/>
                      </w:rPr>
                    </w:pPr>
                    <w:r>
                      <w:rPr>
                        <w:rFonts w:cs="Arial"/>
                        <w:b/>
                        <w:sz w:val="18"/>
                        <w:szCs w:val="18"/>
                      </w:rPr>
                      <w:t>Strategic Context</w:t>
                    </w:r>
                  </w:p>
                </w:txbxContent>
              </v:textbox>
            </v:rect>
            <v:rect id="_x0000_s1628" style="position:absolute;left:5040;top:2340;width:4320;height:540" fillcolor="#31849b [2408]">
              <v:textbox style="mso-next-textbox:#_x0000_s1628">
                <w:txbxContent>
                  <w:p w:rsidR="003863F9" w:rsidRPr="00CB432C" w:rsidRDefault="003863F9" w:rsidP="0081629E">
                    <w:pPr>
                      <w:jc w:val="center"/>
                      <w:rPr>
                        <w:b/>
                        <w:color w:val="FFFFFF" w:themeColor="background1"/>
                        <w:szCs w:val="24"/>
                      </w:rPr>
                    </w:pPr>
                    <w:r w:rsidRPr="00CB432C">
                      <w:rPr>
                        <w:b/>
                        <w:color w:val="FFFFFF" w:themeColor="background1"/>
                        <w:szCs w:val="24"/>
                      </w:rPr>
                      <w:t>Response</w:t>
                    </w:r>
                  </w:p>
                </w:txbxContent>
              </v:textbox>
            </v:rect>
            <v:rect id="_x0000_s1629" style="position:absolute;left:2342;top:2340;width:2518;height:540" fillcolor="#31849b [2408]">
              <v:textbox style="mso-next-textbox:#_x0000_s1629">
                <w:txbxContent>
                  <w:p w:rsidR="003863F9" w:rsidRPr="00CB432C" w:rsidRDefault="003863F9" w:rsidP="0081629E">
                    <w:pPr>
                      <w:spacing w:line="240" w:lineRule="auto"/>
                      <w:jc w:val="center"/>
                      <w:rPr>
                        <w:b/>
                        <w:color w:val="FFFFFF" w:themeColor="background1"/>
                        <w:szCs w:val="24"/>
                      </w:rPr>
                    </w:pPr>
                    <w:r w:rsidRPr="00CB432C">
                      <w:rPr>
                        <w:b/>
                        <w:color w:val="FFFFFF" w:themeColor="background1"/>
                        <w:szCs w:val="24"/>
                      </w:rPr>
                      <w:t>Question</w:t>
                    </w:r>
                  </w:p>
                </w:txbxContent>
              </v:textbox>
            </v:rect>
            <v:rect id="_x0000_s1630" style="position:absolute;left:2340;top:3060;width:2518;height:1800;v-text-anchor:middle">
              <v:textbox style="mso-next-textbox:#_x0000_s1630">
                <w:txbxContent>
                  <w:p w:rsidR="003863F9" w:rsidRPr="00CC660C" w:rsidRDefault="003863F9" w:rsidP="0081629E">
                    <w:pPr>
                      <w:spacing w:line="240" w:lineRule="auto"/>
                      <w:jc w:val="left"/>
                      <w:rPr>
                        <w:rFonts w:cs="Arial"/>
                        <w:sz w:val="22"/>
                        <w:szCs w:val="22"/>
                      </w:rPr>
                    </w:pPr>
                    <w:r w:rsidRPr="00CC660C">
                      <w:rPr>
                        <w:rFonts w:cs="Arial"/>
                        <w:sz w:val="22"/>
                        <w:szCs w:val="22"/>
                      </w:rPr>
                      <w:t>Is</w:t>
                    </w:r>
                    <w:r>
                      <w:rPr>
                        <w:rFonts w:cs="Arial"/>
                        <w:sz w:val="22"/>
                        <w:szCs w:val="22"/>
                      </w:rPr>
                      <w:t xml:space="preserve"> the choice of preferred strategic solution(s) still valid</w:t>
                    </w:r>
                    <w:r w:rsidRPr="00CC660C">
                      <w:rPr>
                        <w:rFonts w:cs="Arial"/>
                        <w:sz w:val="22"/>
                        <w:szCs w:val="22"/>
                      </w:rPr>
                      <w:t>?</w:t>
                    </w:r>
                  </w:p>
                </w:txbxContent>
              </v:textbox>
            </v:rect>
            <v:rect id="_x0000_s1631" style="position:absolute;left:5040;top:3060;width:4320;height:1800;v-text-anchor:middle">
              <v:textbox style="mso-next-textbox:#_x0000_s1631">
                <w:txbxContent>
                  <w:p w:rsidR="003863F9" w:rsidRDefault="003863F9" w:rsidP="0081629E">
                    <w:pPr>
                      <w:spacing w:before="60" w:after="60" w:line="240" w:lineRule="auto"/>
                      <w:contextualSpacing/>
                      <w:jc w:val="left"/>
                      <w:rPr>
                        <w:rFonts w:cs="Arial"/>
                        <w:sz w:val="20"/>
                      </w:rPr>
                    </w:pPr>
                    <w:proofErr w:type="gramStart"/>
                    <w:r>
                      <w:rPr>
                        <w:rFonts w:cs="Arial"/>
                        <w:sz w:val="20"/>
                      </w:rPr>
                      <w:t>Confirmation of the preferred strategic / service solution(s).</w:t>
                    </w:r>
                    <w:proofErr w:type="gramEnd"/>
                  </w:p>
                </w:txbxContent>
              </v:textbox>
            </v:rect>
            <w10:wrap type="topAndBottom"/>
          </v:group>
        </w:pict>
      </w:r>
      <w:r w:rsidR="007612F9">
        <w:t>Is the choice of preferred strategic solution still valid?</w:t>
      </w:r>
    </w:p>
    <w:p w:rsidR="007612F9" w:rsidRDefault="007612F9" w:rsidP="007612F9">
      <w:pPr>
        <w:pStyle w:val="NoSpacing"/>
      </w:pPr>
    </w:p>
    <w:p w:rsidR="007612F9" w:rsidRDefault="007612F9" w:rsidP="007612F9">
      <w:pPr>
        <w:pStyle w:val="StandardParagraph"/>
      </w:pPr>
      <w:r>
        <w:t>The purpose of this section is to identify whether any changes to the Strategic Ca</w:t>
      </w:r>
      <w:r w:rsidR="00CC44FE">
        <w:t>se have</w:t>
      </w:r>
      <w:r>
        <w:t xml:space="preserve"> the potential to change the recommendation of the preferred strategic / service solution(s). </w:t>
      </w:r>
    </w:p>
    <w:p w:rsidR="007612F9" w:rsidRDefault="007612F9" w:rsidP="007612F9">
      <w:pPr>
        <w:pStyle w:val="StandardParagraph"/>
      </w:pPr>
      <w:r>
        <w:t>For example:</w:t>
      </w:r>
    </w:p>
    <w:p w:rsidR="007612F9" w:rsidRDefault="007612F9" w:rsidP="007612F9">
      <w:pPr>
        <w:pStyle w:val="StandardBullet0"/>
      </w:pPr>
      <w:r>
        <w:t>Has the solution become impractical or unfeasible to achieve?</w:t>
      </w:r>
    </w:p>
    <w:p w:rsidR="007612F9" w:rsidRDefault="007612F9" w:rsidP="007612F9">
      <w:pPr>
        <w:pStyle w:val="StandardBullet0"/>
      </w:pPr>
      <w:r>
        <w:t>Is the solution now unlikely to deliver sufficient benefits to justify the investment, noting the aim to improve value for money?</w:t>
      </w:r>
    </w:p>
    <w:p w:rsidR="007612F9" w:rsidRDefault="007612F9" w:rsidP="007612F9">
      <w:pPr>
        <w:pStyle w:val="StandardBullet0"/>
      </w:pPr>
      <w:r>
        <w:t>Is it possible that the preferred solution may have become inferior to another proposed solution, particularly due to significantly greater costs or lower benefits?</w:t>
      </w:r>
    </w:p>
    <w:p w:rsidR="007612F9" w:rsidRDefault="007612F9" w:rsidP="007612F9">
      <w:pPr>
        <w:pStyle w:val="StandardBullet0"/>
      </w:pPr>
      <w:r>
        <w:t>Has the proposal become clearly unaffordable or too risky to proceed?</w:t>
      </w:r>
    </w:p>
    <w:p w:rsidR="007612F9" w:rsidRDefault="007612F9" w:rsidP="007612F9">
      <w:pPr>
        <w:pStyle w:val="StandardParagraph"/>
      </w:pPr>
      <w:r>
        <w:t>Such changes may not necessarily need a resubmission of the Initial Agreement if they can be fully described and addressed in this section of the OBC to reconfirm the suitability of the preferred strategic / service solution.</w:t>
      </w:r>
    </w:p>
    <w:p w:rsidR="007612F9" w:rsidRDefault="007612F9" w:rsidP="007612F9">
      <w:pPr>
        <w:pStyle w:val="StandardParagraph"/>
      </w:pPr>
      <w:r>
        <w:t>A statement is therefore needed which either confirms that any changes since the IA do not materially change its outcome, or, that the selection process is to be repeated to confirm the outcome; with updated details provided of the process followed and conclusions made.</w:t>
      </w:r>
    </w:p>
    <w:p w:rsidR="007612F9" w:rsidRDefault="007612F9" w:rsidP="007612F9">
      <w:pPr>
        <w:pStyle w:val="Standardparagraph0"/>
      </w:pPr>
    </w:p>
    <w:bookmarkEnd w:id="2"/>
    <w:p w:rsidR="00756D2F" w:rsidRDefault="00756D2F">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sectPr w:rsidR="00756D2F" w:rsidSect="00AF208A">
          <w:footerReference w:type="default" r:id="rId13"/>
          <w:pgSz w:w="11906" w:h="16838"/>
          <w:pgMar w:top="1588" w:right="1440" w:bottom="1440" w:left="1440" w:header="709" w:footer="709" w:gutter="0"/>
          <w:cols w:space="708"/>
          <w:docGrid w:linePitch="360"/>
        </w:sectPr>
      </w:pPr>
    </w:p>
    <w:p w:rsidR="00F92FF9" w:rsidRDefault="00F92FF9" w:rsidP="00F92FF9">
      <w:pPr>
        <w:pStyle w:val="SectionHeading"/>
      </w:pPr>
      <w:bookmarkStart w:id="4" w:name="_Toc463443354"/>
      <w:bookmarkStart w:id="5" w:name="_Toc460408646"/>
      <w:r>
        <w:lastRenderedPageBreak/>
        <w:t>ECONOMIC CASE</w:t>
      </w:r>
      <w:bookmarkEnd w:id="4"/>
    </w:p>
    <w:p w:rsidR="00803DFD" w:rsidRPr="00A6535C" w:rsidRDefault="007C16B4" w:rsidP="00803DFD">
      <w:pPr>
        <w:pStyle w:val="Heading1"/>
      </w:pPr>
      <w:bookmarkStart w:id="6" w:name="_Toc224112988"/>
      <w:r>
        <w:t>Economic Case: Overview</w:t>
      </w:r>
    </w:p>
    <w:p w:rsidR="00803DFD" w:rsidRPr="007A3AF1" w:rsidRDefault="00803DFD" w:rsidP="00803DFD">
      <w:pPr>
        <w:pStyle w:val="StandardParagraph"/>
      </w:pPr>
      <w:r w:rsidRPr="007A3AF1">
        <w:t>The purpose of the Economic Case is to undertake a detailed analysis of the costs, benefits and risks of a short list of options</w:t>
      </w:r>
      <w:r>
        <w:t>, including a do nothing and/or do minimum option,</w:t>
      </w:r>
      <w:r w:rsidRPr="007A3AF1">
        <w:t xml:space="preserve"> for implement</w:t>
      </w:r>
      <w:r>
        <w:t>ing</w:t>
      </w:r>
      <w:r w:rsidRPr="007A3AF1">
        <w:t xml:space="preserve"> the preferred strategic</w:t>
      </w:r>
      <w:r>
        <w:t xml:space="preserve"> </w:t>
      </w:r>
      <w:r w:rsidRPr="007A3AF1">
        <w:t>/ service solution</w:t>
      </w:r>
      <w:r>
        <w:t>(</w:t>
      </w:r>
      <w:r w:rsidRPr="007A3AF1">
        <w:t>s</w:t>
      </w:r>
      <w:r>
        <w:t>)</w:t>
      </w:r>
      <w:r w:rsidRPr="007A3AF1">
        <w:t xml:space="preserve"> identified within the Initial Agreement.</w:t>
      </w:r>
    </w:p>
    <w:p w:rsidR="00803DFD" w:rsidRDefault="00803DFD" w:rsidP="00803DFD">
      <w:pPr>
        <w:pStyle w:val="StandardParagraph"/>
      </w:pPr>
      <w:r>
        <w:t xml:space="preserve">The objective </w:t>
      </w:r>
      <w:r w:rsidRPr="007A3AF1">
        <w:t>is to demonstrate the</w:t>
      </w:r>
      <w:r>
        <w:t xml:space="preserve"> relative value for money</w:t>
      </w:r>
      <w:r w:rsidRPr="007A3AF1">
        <w:t xml:space="preserve"> </w:t>
      </w:r>
      <w:r>
        <w:t xml:space="preserve">of the chosen option </w:t>
      </w:r>
      <w:r w:rsidRPr="007A3AF1">
        <w:t xml:space="preserve">in delivering the required </w:t>
      </w:r>
      <w:r>
        <w:t xml:space="preserve">outcomes and </w:t>
      </w:r>
      <w:r w:rsidRPr="007A3AF1">
        <w:t>services. This analysis includes the following steps:</w:t>
      </w:r>
    </w:p>
    <w:p w:rsidR="00803DFD" w:rsidRDefault="007F6BBC" w:rsidP="00803DFD">
      <w:pPr>
        <w:pStyle w:val="NoSpacing"/>
      </w:pPr>
      <w:r>
        <w:rPr>
          <w:noProof/>
          <w:lang w:eastAsia="en-GB"/>
        </w:rPr>
        <w:pict>
          <v:group id="_x0000_s1638" style="position:absolute;left:0;text-align:left;margin-left:21.85pt;margin-top:.65pt;width:380.15pt;height:396pt;z-index:251945984" coordorigin="1877,6534" coordsize="7603,7920">
            <v:rect id="_x0000_s1611" style="position:absolute;left:1877;top:6534;width:7603;height:533;v-text-anchor:middle" o:regroupid="12" fillcolor="#1f497d [3215]">
              <v:textbox style="mso-next-textbox:#_x0000_s1611">
                <w:txbxContent>
                  <w:p w:rsidR="003863F9" w:rsidRPr="008C12B1" w:rsidRDefault="003863F9" w:rsidP="00972D07">
                    <w:pPr>
                      <w:spacing w:line="240" w:lineRule="auto"/>
                      <w:jc w:val="center"/>
                      <w:rPr>
                        <w:rFonts w:cs="Arial"/>
                        <w:b/>
                        <w:color w:val="FFFFFF" w:themeColor="background1"/>
                        <w:sz w:val="28"/>
                        <w:szCs w:val="28"/>
                      </w:rPr>
                    </w:pPr>
                    <w:r w:rsidRPr="008C12B1">
                      <w:rPr>
                        <w:rFonts w:cs="Arial"/>
                        <w:b/>
                        <w:color w:val="FFFFFF" w:themeColor="background1"/>
                        <w:sz w:val="28"/>
                        <w:szCs w:val="28"/>
                      </w:rPr>
                      <w:t>Economic Appraisal</w:t>
                    </w:r>
                  </w:p>
                </w:txbxContent>
              </v:textbox>
            </v:rect>
            <v:rect id="_x0000_s1612" style="position:absolute;left:4757;top:9054;width:4723;height:1260;v-text-anchor:middle" o:regroupid="12">
              <v:textbox style="mso-next-textbox:#_x0000_s1612">
                <w:txbxContent>
                  <w:p w:rsidR="003863F9" w:rsidRPr="0081629E" w:rsidRDefault="003863F9" w:rsidP="00972D07">
                    <w:pPr>
                      <w:pStyle w:val="ListParagraph"/>
                      <w:numPr>
                        <w:ilvl w:val="0"/>
                        <w:numId w:val="8"/>
                      </w:numPr>
                      <w:spacing w:before="120" w:after="120" w:line="276" w:lineRule="auto"/>
                      <w:ind w:left="284" w:hanging="284"/>
                      <w:contextualSpacing/>
                      <w:rPr>
                        <w:sz w:val="20"/>
                      </w:rPr>
                    </w:pPr>
                    <w:r w:rsidRPr="0081629E">
                      <w:rPr>
                        <w:sz w:val="20"/>
                      </w:rPr>
                      <w:t>Section 7 of this OBC guide.</w:t>
                    </w:r>
                  </w:p>
                  <w:p w:rsidR="003863F9" w:rsidRPr="0081629E" w:rsidRDefault="003863F9" w:rsidP="00972D07">
                    <w:pPr>
                      <w:pStyle w:val="ListParagraph"/>
                      <w:numPr>
                        <w:ilvl w:val="0"/>
                        <w:numId w:val="8"/>
                      </w:numPr>
                      <w:spacing w:before="120" w:after="120" w:line="276" w:lineRule="auto"/>
                      <w:ind w:left="284" w:hanging="284"/>
                      <w:contextualSpacing/>
                      <w:rPr>
                        <w:sz w:val="20"/>
                      </w:rPr>
                    </w:pPr>
                    <w:r w:rsidRPr="0081629E">
                      <w:rPr>
                        <w:sz w:val="20"/>
                      </w:rPr>
                      <w:t>Section 3 of Option Appraisal Guidance</w:t>
                    </w:r>
                  </w:p>
                </w:txbxContent>
              </v:textbox>
            </v:rect>
            <v:rect id="_x0000_s1613" style="position:absolute;left:1877;top:9054;width:2700;height:1260;v-text-anchor:middle" o:regroupid="12">
              <v:textbox style="mso-next-textbox:#_x0000_s1613">
                <w:txbxContent>
                  <w:p w:rsidR="003863F9" w:rsidRPr="0081629E" w:rsidRDefault="003863F9" w:rsidP="0081629E">
                    <w:pPr>
                      <w:spacing w:line="240" w:lineRule="auto"/>
                      <w:jc w:val="left"/>
                      <w:rPr>
                        <w:rFonts w:cs="Arial"/>
                        <w:sz w:val="22"/>
                        <w:szCs w:val="22"/>
                      </w:rPr>
                    </w:pPr>
                    <w:r w:rsidRPr="0081629E">
                      <w:rPr>
                        <w:rFonts w:cs="Arial"/>
                        <w:sz w:val="22"/>
                        <w:szCs w:val="22"/>
                      </w:rPr>
                      <w:t>Identify and quantify monetary costs and benefits of options</w:t>
                    </w:r>
                  </w:p>
                </w:txbxContent>
              </v:textbox>
            </v:rect>
            <v:rect id="_x0000_s1614" style="position:absolute;left:4757;top:7254;width:4723;height:540;v-text-anchor:middle" o:regroupid="12" fillcolor="#31849b [2408]">
              <v:textbox style="mso-next-textbox:#_x0000_s1614">
                <w:txbxContent>
                  <w:p w:rsidR="003863F9" w:rsidRPr="008C12B1" w:rsidRDefault="003863F9" w:rsidP="00972D07">
                    <w:pPr>
                      <w:spacing w:line="240" w:lineRule="auto"/>
                      <w:jc w:val="center"/>
                      <w:rPr>
                        <w:rFonts w:cs="Arial"/>
                        <w:b/>
                        <w:szCs w:val="24"/>
                      </w:rPr>
                    </w:pPr>
                    <w:r w:rsidRPr="008C12B1">
                      <w:rPr>
                        <w:rFonts w:cs="Arial"/>
                        <w:b/>
                        <w:szCs w:val="24"/>
                      </w:rPr>
                      <w:t>Guidance and Resources</w:t>
                    </w:r>
                  </w:p>
                </w:txbxContent>
              </v:textbox>
            </v:rect>
            <v:rect id="_x0000_s1615" style="position:absolute;left:1877;top:7254;width:2700;height:540;v-text-anchor:middle" o:regroupid="12" fillcolor="#31849b [2408]">
              <v:textbox style="mso-next-textbox:#_x0000_s1615">
                <w:txbxContent>
                  <w:p w:rsidR="003863F9" w:rsidRPr="008C12B1" w:rsidRDefault="003863F9" w:rsidP="00972D07">
                    <w:pPr>
                      <w:spacing w:line="240" w:lineRule="auto"/>
                      <w:jc w:val="center"/>
                      <w:rPr>
                        <w:rFonts w:cs="Arial"/>
                        <w:b/>
                        <w:szCs w:val="24"/>
                      </w:rPr>
                    </w:pPr>
                    <w:r w:rsidRPr="008C12B1">
                      <w:rPr>
                        <w:rFonts w:cs="Arial"/>
                        <w:b/>
                        <w:szCs w:val="24"/>
                      </w:rPr>
                      <w:t>Key Steps</w:t>
                    </w:r>
                  </w:p>
                </w:txbxContent>
              </v:textbox>
            </v:rect>
            <v:rect id="_x0000_s1616" style="position:absolute;left:1877;top:10494;width:2700;height:1260;v-text-anchor:middle" o:regroupid="12">
              <v:textbox style="mso-next-textbox:#_x0000_s1616">
                <w:txbxContent>
                  <w:p w:rsidR="003863F9" w:rsidRPr="0081629E" w:rsidRDefault="003863F9" w:rsidP="0081629E">
                    <w:pPr>
                      <w:spacing w:line="240" w:lineRule="auto"/>
                      <w:jc w:val="left"/>
                      <w:rPr>
                        <w:rFonts w:cs="Arial"/>
                        <w:sz w:val="22"/>
                        <w:szCs w:val="22"/>
                      </w:rPr>
                    </w:pPr>
                    <w:r w:rsidRPr="0081629E">
                      <w:rPr>
                        <w:rFonts w:cs="Arial"/>
                        <w:sz w:val="22"/>
                        <w:szCs w:val="22"/>
                      </w:rPr>
                      <w:t>Estimate non-monetary costs and benefits</w:t>
                    </w:r>
                  </w:p>
                </w:txbxContent>
              </v:textbox>
            </v:rect>
            <v:rect id="_x0000_s1617" style="position:absolute;left:4757;top:10494;width:4723;height:1260;v-text-anchor:middle" o:regroupid="12">
              <v:textbox style="mso-next-textbox:#_x0000_s1617">
                <w:txbxContent>
                  <w:p w:rsidR="003863F9" w:rsidRPr="0081629E" w:rsidRDefault="003863F9" w:rsidP="00972D07">
                    <w:pPr>
                      <w:pStyle w:val="ListParagraph"/>
                      <w:numPr>
                        <w:ilvl w:val="0"/>
                        <w:numId w:val="8"/>
                      </w:numPr>
                      <w:spacing w:before="120" w:after="120" w:line="276" w:lineRule="auto"/>
                      <w:ind w:left="284" w:hanging="284"/>
                      <w:contextualSpacing/>
                      <w:rPr>
                        <w:sz w:val="20"/>
                      </w:rPr>
                    </w:pPr>
                    <w:r w:rsidRPr="0081629E">
                      <w:rPr>
                        <w:sz w:val="20"/>
                      </w:rPr>
                      <w:t>Section 8 of this OBC guide</w:t>
                    </w:r>
                  </w:p>
                  <w:p w:rsidR="003863F9" w:rsidRPr="0081629E" w:rsidRDefault="003863F9" w:rsidP="00972D07">
                    <w:pPr>
                      <w:pStyle w:val="ListParagraph"/>
                      <w:numPr>
                        <w:ilvl w:val="0"/>
                        <w:numId w:val="8"/>
                      </w:numPr>
                      <w:spacing w:before="120" w:after="120" w:line="276" w:lineRule="auto"/>
                      <w:ind w:left="284" w:hanging="284"/>
                      <w:contextualSpacing/>
                      <w:rPr>
                        <w:sz w:val="20"/>
                      </w:rPr>
                    </w:pPr>
                    <w:r w:rsidRPr="0081629E">
                      <w:rPr>
                        <w:sz w:val="20"/>
                      </w:rPr>
                      <w:t>Section 4 of Option Appraisal Guidance</w:t>
                    </w:r>
                  </w:p>
                  <w:p w:rsidR="003863F9" w:rsidRPr="0081629E" w:rsidRDefault="003863F9" w:rsidP="00972D07">
                    <w:pPr>
                      <w:pStyle w:val="ListParagraph"/>
                      <w:numPr>
                        <w:ilvl w:val="0"/>
                        <w:numId w:val="8"/>
                      </w:numPr>
                      <w:spacing w:before="120" w:after="120" w:line="276" w:lineRule="auto"/>
                      <w:ind w:left="284" w:hanging="284"/>
                      <w:contextualSpacing/>
                      <w:rPr>
                        <w:sz w:val="20"/>
                      </w:rPr>
                    </w:pPr>
                    <w:r w:rsidRPr="0081629E">
                      <w:rPr>
                        <w:sz w:val="20"/>
                      </w:rPr>
                      <w:t>Appendix 2 of Option Appraisal Guidance</w:t>
                    </w:r>
                  </w:p>
                </w:txbxContent>
              </v:textbox>
            </v:rect>
            <v:rect id="_x0000_s1618" style="position:absolute;left:1877;top:11934;width:2700;height:1260;v-text-anchor:middle" o:regroupid="12">
              <v:textbox style="mso-next-textbox:#_x0000_s1618">
                <w:txbxContent>
                  <w:p w:rsidR="003863F9" w:rsidRPr="0081629E" w:rsidRDefault="003863F9" w:rsidP="0081629E">
                    <w:pPr>
                      <w:spacing w:line="240" w:lineRule="auto"/>
                      <w:jc w:val="left"/>
                      <w:rPr>
                        <w:rFonts w:cs="Arial"/>
                        <w:sz w:val="22"/>
                        <w:szCs w:val="22"/>
                      </w:rPr>
                    </w:pPr>
                    <w:r w:rsidRPr="0081629E">
                      <w:rPr>
                        <w:rFonts w:cs="Arial"/>
                        <w:sz w:val="22"/>
                        <w:szCs w:val="22"/>
                      </w:rPr>
                      <w:t>Calculate Net Present Value of options</w:t>
                    </w:r>
                  </w:p>
                </w:txbxContent>
              </v:textbox>
            </v:rect>
            <v:rect id="_x0000_s1619" style="position:absolute;left:4757;top:11934;width:4723;height:1260;v-text-anchor:middle" o:regroupid="12">
              <v:textbox style="mso-next-textbox:#_x0000_s1619">
                <w:txbxContent>
                  <w:p w:rsidR="003863F9" w:rsidRPr="0081629E" w:rsidRDefault="003863F9" w:rsidP="00972D07">
                    <w:pPr>
                      <w:pStyle w:val="ListParagraph"/>
                      <w:numPr>
                        <w:ilvl w:val="0"/>
                        <w:numId w:val="8"/>
                      </w:numPr>
                      <w:spacing w:before="120" w:after="120" w:line="276" w:lineRule="auto"/>
                      <w:ind w:left="284" w:hanging="284"/>
                      <w:contextualSpacing/>
                      <w:rPr>
                        <w:sz w:val="20"/>
                      </w:rPr>
                    </w:pPr>
                    <w:r w:rsidRPr="0081629E">
                      <w:rPr>
                        <w:sz w:val="20"/>
                      </w:rPr>
                      <w:t>Section 9 of this OBC guide</w:t>
                    </w:r>
                  </w:p>
                  <w:p w:rsidR="003863F9" w:rsidRPr="0081629E" w:rsidRDefault="003863F9" w:rsidP="00972D07">
                    <w:pPr>
                      <w:pStyle w:val="ListParagraph"/>
                      <w:numPr>
                        <w:ilvl w:val="0"/>
                        <w:numId w:val="8"/>
                      </w:numPr>
                      <w:spacing w:before="120" w:after="120" w:line="276" w:lineRule="auto"/>
                      <w:ind w:left="284" w:hanging="284"/>
                      <w:contextualSpacing/>
                      <w:rPr>
                        <w:sz w:val="20"/>
                      </w:rPr>
                    </w:pPr>
                    <w:r w:rsidRPr="0081629E">
                      <w:rPr>
                        <w:sz w:val="20"/>
                      </w:rPr>
                      <w:t>Section 5 of Option Appraisal Guidance</w:t>
                    </w:r>
                  </w:p>
                  <w:p w:rsidR="003863F9" w:rsidRPr="0081629E" w:rsidRDefault="003863F9" w:rsidP="00972D07">
                    <w:pPr>
                      <w:pStyle w:val="ListParagraph"/>
                      <w:numPr>
                        <w:ilvl w:val="0"/>
                        <w:numId w:val="8"/>
                      </w:numPr>
                      <w:spacing w:before="120" w:after="0" w:line="240" w:lineRule="auto"/>
                      <w:ind w:left="284" w:hanging="284"/>
                      <w:contextualSpacing/>
                      <w:rPr>
                        <w:sz w:val="20"/>
                      </w:rPr>
                    </w:pPr>
                    <w:r w:rsidRPr="0081629E">
                      <w:rPr>
                        <w:sz w:val="20"/>
                      </w:rPr>
                      <w:t>Generic Economic Model (see SCIM website)</w:t>
                    </w:r>
                  </w:p>
                </w:txbxContent>
              </v:textbox>
            </v:rect>
            <v:rect id="_x0000_s1620" style="position:absolute;left:1877;top:13374;width:2700;height:1080;v-text-anchor:middle" o:regroupid="12">
              <v:textbox style="mso-next-textbox:#_x0000_s1620">
                <w:txbxContent>
                  <w:p w:rsidR="003863F9" w:rsidRPr="0081629E" w:rsidRDefault="003863F9" w:rsidP="0081629E">
                    <w:pPr>
                      <w:spacing w:line="240" w:lineRule="auto"/>
                      <w:jc w:val="left"/>
                      <w:rPr>
                        <w:rFonts w:cs="Arial"/>
                        <w:sz w:val="22"/>
                        <w:szCs w:val="22"/>
                      </w:rPr>
                    </w:pPr>
                    <w:r w:rsidRPr="0081629E">
                      <w:rPr>
                        <w:rFonts w:cs="Arial"/>
                        <w:sz w:val="22"/>
                        <w:szCs w:val="22"/>
                      </w:rPr>
                      <w:t>Present appraisal results</w:t>
                    </w:r>
                  </w:p>
                </w:txbxContent>
              </v:textbox>
            </v:rect>
            <v:rect id="_x0000_s1621" style="position:absolute;left:4757;top:13374;width:4723;height:1080;v-text-anchor:middle" o:regroupid="12">
              <v:textbox style="mso-next-textbox:#_x0000_s1621">
                <w:txbxContent>
                  <w:p w:rsidR="003863F9" w:rsidRPr="0081629E" w:rsidRDefault="003863F9" w:rsidP="00972D07">
                    <w:pPr>
                      <w:pStyle w:val="ListParagraph"/>
                      <w:numPr>
                        <w:ilvl w:val="0"/>
                        <w:numId w:val="8"/>
                      </w:numPr>
                      <w:spacing w:before="120" w:after="120" w:line="276" w:lineRule="auto"/>
                      <w:ind w:left="284" w:hanging="284"/>
                      <w:contextualSpacing/>
                      <w:rPr>
                        <w:sz w:val="20"/>
                      </w:rPr>
                    </w:pPr>
                    <w:r w:rsidRPr="0081629E">
                      <w:rPr>
                        <w:sz w:val="20"/>
                      </w:rPr>
                      <w:t>Sections 10 &amp; 11 of this OBC guide</w:t>
                    </w:r>
                  </w:p>
                  <w:p w:rsidR="003863F9" w:rsidRPr="0081629E" w:rsidRDefault="003863F9" w:rsidP="00972D07">
                    <w:pPr>
                      <w:pStyle w:val="ListParagraph"/>
                      <w:numPr>
                        <w:ilvl w:val="0"/>
                        <w:numId w:val="8"/>
                      </w:numPr>
                      <w:spacing w:before="120" w:after="120" w:line="276" w:lineRule="auto"/>
                      <w:ind w:left="284" w:hanging="284"/>
                      <w:contextualSpacing/>
                      <w:rPr>
                        <w:sz w:val="20"/>
                      </w:rPr>
                    </w:pPr>
                    <w:r w:rsidRPr="0081629E">
                      <w:rPr>
                        <w:sz w:val="20"/>
                      </w:rPr>
                      <w:t>Section 6 of Option Appraisal Guidance</w:t>
                    </w:r>
                  </w:p>
                </w:txbxContent>
              </v:textbox>
            </v:rect>
            <v:rect id="_x0000_s1622" style="position:absolute;left:1877;top:7974;width:2700;height:900;v-text-anchor:middle" o:regroupid="12">
              <v:textbox style="mso-next-textbox:#_x0000_s1622">
                <w:txbxContent>
                  <w:p w:rsidR="003863F9" w:rsidRPr="0081629E" w:rsidRDefault="003863F9" w:rsidP="0081629E">
                    <w:pPr>
                      <w:spacing w:line="240" w:lineRule="auto"/>
                      <w:jc w:val="left"/>
                      <w:rPr>
                        <w:rFonts w:cs="Arial"/>
                        <w:sz w:val="22"/>
                        <w:szCs w:val="22"/>
                      </w:rPr>
                    </w:pPr>
                    <w:r w:rsidRPr="0081629E">
                      <w:rPr>
                        <w:rFonts w:cs="Arial"/>
                        <w:sz w:val="22"/>
                        <w:szCs w:val="22"/>
                      </w:rPr>
                      <w:t>Identify a short-list of implementation options</w:t>
                    </w:r>
                  </w:p>
                </w:txbxContent>
              </v:textbox>
            </v:rect>
            <v:rect id="_x0000_s1623" style="position:absolute;left:4757;top:7974;width:4723;height:900;v-text-anchor:middle" o:regroupid="12">
              <v:textbox style="mso-next-textbox:#_x0000_s1623">
                <w:txbxContent>
                  <w:p w:rsidR="003863F9" w:rsidRPr="0081629E" w:rsidRDefault="003863F9" w:rsidP="00972D07">
                    <w:pPr>
                      <w:pStyle w:val="ListParagraph"/>
                      <w:numPr>
                        <w:ilvl w:val="0"/>
                        <w:numId w:val="8"/>
                      </w:numPr>
                      <w:spacing w:before="120" w:after="120" w:line="276" w:lineRule="auto"/>
                      <w:ind w:left="284" w:hanging="284"/>
                      <w:contextualSpacing/>
                      <w:rPr>
                        <w:sz w:val="20"/>
                      </w:rPr>
                    </w:pPr>
                    <w:r w:rsidRPr="0081629E">
                      <w:rPr>
                        <w:sz w:val="20"/>
                      </w:rPr>
                      <w:t>Section 6 of this OBC guide</w:t>
                    </w:r>
                  </w:p>
                </w:txbxContent>
              </v:textbox>
            </v:rect>
            <w10:wrap type="topAndBottom"/>
          </v:group>
        </w:pict>
      </w:r>
    </w:p>
    <w:p w:rsidR="00803DFD" w:rsidRPr="00DA2930" w:rsidRDefault="00803DFD" w:rsidP="00803DFD">
      <w:pPr>
        <w:pStyle w:val="StandardParagraph"/>
      </w:pPr>
      <w:r>
        <w:t xml:space="preserve">The following pages provide a high-level introduction to the above steps, with the SCIM Option Appraisal Guide providing a more detailed primary guide on </w:t>
      </w:r>
      <w:r>
        <w:lastRenderedPageBreak/>
        <w:t xml:space="preserve">Appraisal for </w:t>
      </w:r>
      <w:proofErr w:type="spellStart"/>
      <w:r>
        <w:t>NHSScotland</w:t>
      </w:r>
      <w:proofErr w:type="spellEnd"/>
      <w:r>
        <w:t xml:space="preserve">.  Further reading can also be found in the </w:t>
      </w:r>
      <w:r w:rsidRPr="00A6535C">
        <w:rPr>
          <w:i/>
        </w:rPr>
        <w:t>HM Treasury</w:t>
      </w:r>
      <w:r>
        <w:t xml:space="preserve"> </w:t>
      </w:r>
      <w:r w:rsidRPr="00B27C2C">
        <w:rPr>
          <w:i/>
        </w:rPr>
        <w:t>Green Book</w:t>
      </w:r>
      <w:r>
        <w:t>.</w:t>
      </w:r>
    </w:p>
    <w:p w:rsidR="00803DFD" w:rsidRPr="00057783" w:rsidRDefault="00803DFD" w:rsidP="00803DFD">
      <w:pPr>
        <w:pStyle w:val="StandardParagraph"/>
      </w:pPr>
      <w:r>
        <w:t xml:space="preserve">As an Economic Appraisal </w:t>
      </w:r>
      <w:r w:rsidRPr="00057783">
        <w:t>uses up resources</w:t>
      </w:r>
      <w:r>
        <w:t>,</w:t>
      </w:r>
      <w:r w:rsidRPr="00057783">
        <w:t xml:space="preserve"> the effort that should go into it and the detail to be considered should be in proportion to the scale or importance of the objectives and resource consequences. </w:t>
      </w:r>
      <w:r>
        <w:t xml:space="preserve"> </w:t>
      </w:r>
      <w:r w:rsidRPr="00057783">
        <w:t xml:space="preserve">Particular weight should be given to the </w:t>
      </w:r>
      <w:r w:rsidRPr="00057783">
        <w:rPr>
          <w:iCs/>
        </w:rPr>
        <w:t>TOTAL PUBLIC FUNDS</w:t>
      </w:r>
      <w:r w:rsidRPr="00057783">
        <w:t xml:space="preserve"> involved since it is for these that public bodies are primarily accountable to the taxpayer.</w:t>
      </w:r>
    </w:p>
    <w:p w:rsidR="00803DFD" w:rsidRDefault="00803DFD" w:rsidP="00803DFD">
      <w:pPr>
        <w:pStyle w:val="StandardParagraph"/>
      </w:pPr>
      <w:r w:rsidRPr="00D978A9">
        <w:t xml:space="preserve">It is also important that the appraisal is </w:t>
      </w:r>
      <w:r w:rsidRPr="00D978A9">
        <w:rPr>
          <w:i/>
          <w:iCs/>
        </w:rPr>
        <w:t xml:space="preserve">appropriate </w:t>
      </w:r>
      <w:r w:rsidRPr="00D978A9">
        <w:t>i.e. that the correct methodology is used and ta</w:t>
      </w:r>
      <w:r>
        <w:t>ilored to suit the case in hand</w:t>
      </w:r>
      <w:r w:rsidRPr="00D978A9">
        <w:t xml:space="preserve"> as there are variations in how appraisal should apply in different spending areas. </w:t>
      </w:r>
      <w:r>
        <w:t xml:space="preserve"> </w:t>
      </w:r>
      <w:r w:rsidRPr="00D978A9">
        <w:t xml:space="preserve">Small scale decisions </w:t>
      </w:r>
      <w:r>
        <w:t xml:space="preserve">may not </w:t>
      </w:r>
      <w:r w:rsidRPr="00D978A9">
        <w:t xml:space="preserve">require as </w:t>
      </w:r>
      <w:r>
        <w:t xml:space="preserve">detailed an </w:t>
      </w:r>
      <w:r w:rsidRPr="00D978A9">
        <w:t>appraisal or evaluation as larger scale decisions.</w:t>
      </w:r>
      <w:r>
        <w:t xml:space="preserve">  </w:t>
      </w:r>
      <w:r w:rsidRPr="00D978A9">
        <w:t xml:space="preserve">Judging this </w:t>
      </w:r>
      <w:r>
        <w:t>can be</w:t>
      </w:r>
      <w:r w:rsidRPr="00D978A9">
        <w:t xml:space="preserve"> a matter of experience and SGHSCD economists should be consulted where there is any doubt. </w:t>
      </w:r>
    </w:p>
    <w:p w:rsidR="00803DFD" w:rsidRPr="007A3AF1" w:rsidRDefault="00803DFD" w:rsidP="00803DFD">
      <w:pPr>
        <w:pStyle w:val="StandardParagraph"/>
      </w:pPr>
      <w:r>
        <w:t xml:space="preserve">Also, at the early stages of appraisal there is a potential for confusion to arise between what should be included in the Economic Case with what is included in the Financial Case.  Economic appraisals focus on value for money analysis whereas </w:t>
      </w:r>
      <w:proofErr w:type="gramStart"/>
      <w:r>
        <w:t>Financial</w:t>
      </w:r>
      <w:proofErr w:type="gramEnd"/>
      <w:r>
        <w:t xml:space="preserve"> appraisals should focus on affordability – this is outlined in the Financial Case section and</w:t>
      </w:r>
      <w:r w:rsidR="00533537">
        <w:t xml:space="preserve"> further explained in Appendix 1</w:t>
      </w:r>
      <w:r>
        <w:t xml:space="preserve"> of the Option Appraisal Guide ‘Comparison of Economic and Commercial Appraisal’.</w:t>
      </w:r>
    </w:p>
    <w:p w:rsidR="00803DFD" w:rsidRDefault="00803DFD" w:rsidP="00803DFD">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pPr>
      <w:r>
        <w:br w:type="page"/>
      </w:r>
    </w:p>
    <w:p w:rsidR="00803DFD" w:rsidRDefault="00803DFD" w:rsidP="00803DFD">
      <w:pPr>
        <w:pStyle w:val="Heading1"/>
      </w:pPr>
      <w:r>
        <w:lastRenderedPageBreak/>
        <w:t>Identify a short-list of implementation options</w:t>
      </w:r>
    </w:p>
    <w:p w:rsidR="00803DFD" w:rsidRDefault="00803DFD" w:rsidP="00803DFD">
      <w:pPr>
        <w:pStyle w:val="StandardParagraph"/>
      </w:pPr>
      <w:r>
        <w:t>The Economic Case at OBC stage will seek to confirm the value for money of the option for implementing the preferred strategic / service option(s) identified</w:t>
      </w:r>
      <w:r w:rsidRPr="00270BFD">
        <w:t xml:space="preserve"> </w:t>
      </w:r>
      <w:r>
        <w:t xml:space="preserve">at Initial Agreement stage.  </w:t>
      </w:r>
    </w:p>
    <w:p w:rsidR="00803DFD" w:rsidRDefault="007C16B4" w:rsidP="00803DFD">
      <w:pPr>
        <w:pStyle w:val="Heading2"/>
      </w:pPr>
      <w:r>
        <w:t>Develop</w:t>
      </w:r>
      <w:r w:rsidR="00803DFD">
        <w:t xml:space="preserve"> a short-list of implementation options</w:t>
      </w:r>
    </w:p>
    <w:p w:rsidR="00803DFD" w:rsidRDefault="00803DFD" w:rsidP="00803DFD">
      <w:pPr>
        <w:pStyle w:val="StandardParagraph"/>
      </w:pPr>
      <w:r>
        <w:t>A full range of practical implementation options will need to be identified and tested as part of the Economic Appraisal, which will be based on variations to the way in which each preferred strategic / service solution(s) can be implemented.  This will include a Do Nothing (and/or Do Minimum) option associated with the existing arrangements considered at IA stage.</w:t>
      </w:r>
    </w:p>
    <w:p w:rsidR="00803DFD" w:rsidRDefault="00803DFD" w:rsidP="00803DFD">
      <w:pPr>
        <w:pStyle w:val="StandardParagraph"/>
      </w:pPr>
      <w:r>
        <w:t>For construction related projects, implementation options may include variations on some or all of the following:</w:t>
      </w:r>
    </w:p>
    <w:p w:rsidR="00803DFD" w:rsidRDefault="00803DFD" w:rsidP="00803DFD">
      <w:pPr>
        <w:pStyle w:val="StandardBullet0"/>
      </w:pPr>
      <w:r>
        <w:t>The ability to use the retained estate, and in different ways e.g. different refurbishment and reconfiguration options.</w:t>
      </w:r>
    </w:p>
    <w:p w:rsidR="00803DFD" w:rsidRDefault="00803DFD" w:rsidP="00803DFD">
      <w:pPr>
        <w:pStyle w:val="StandardBullet0"/>
      </w:pPr>
      <w:r>
        <w:t>Different design solutions for new build solutions (where the differences are significant).</w:t>
      </w:r>
    </w:p>
    <w:p w:rsidR="00803DFD" w:rsidRDefault="00803DFD" w:rsidP="00803DFD">
      <w:pPr>
        <w:pStyle w:val="StandardBullet0"/>
      </w:pPr>
      <w:r>
        <w:t>The availability of different sites.</w:t>
      </w:r>
    </w:p>
    <w:p w:rsidR="00803DFD" w:rsidRDefault="00803DFD" w:rsidP="00803DFD">
      <w:pPr>
        <w:pStyle w:val="StandardBullet0"/>
      </w:pPr>
      <w:r>
        <w:t>The potential to phase the works in different ways to overcome site or service constraints.</w:t>
      </w:r>
    </w:p>
    <w:p w:rsidR="00803DFD" w:rsidRDefault="00803DFD" w:rsidP="00803DFD">
      <w:pPr>
        <w:pStyle w:val="StandardParagraph"/>
      </w:pPr>
      <w:r>
        <w:t>A summary will be required of how a short-list of practical implementation options has been selected from a potential long list of possibilities.  It is possible, particularly for more complex projects, that a more robust decision making process towards short-listing will need to be followed and explained.  For example, a site feasibility option appraisal exercise may need to be carried out to confirm the preferred site prior to including this outcome within the scope of other implementation options.</w:t>
      </w:r>
    </w:p>
    <w:p w:rsidR="00803DFD" w:rsidRDefault="00803DFD" w:rsidP="00803DFD">
      <w:pPr>
        <w:pStyle w:val="StandardParagraph"/>
      </w:pPr>
    </w:p>
    <w:p w:rsidR="00803DFD" w:rsidRDefault="00803DFD" w:rsidP="00803DFD">
      <w:pPr>
        <w:pStyle w:val="Heading1"/>
      </w:pPr>
      <w:r w:rsidRPr="0026174E">
        <w:lastRenderedPageBreak/>
        <w:t>Identify and quantify monetary costs and benefits of options</w:t>
      </w:r>
    </w:p>
    <w:p w:rsidR="00803DFD" w:rsidRDefault="00533537" w:rsidP="00803DFD">
      <w:pPr>
        <w:pStyle w:val="StandardParagraph"/>
      </w:pPr>
      <w:r>
        <w:t>Section 3</w:t>
      </w:r>
      <w:r w:rsidR="00803DFD">
        <w:t xml:space="preserve"> of the SCIM Option Appraisal G</w:t>
      </w:r>
      <w:r w:rsidR="00803DFD" w:rsidRPr="00326658">
        <w:t xml:space="preserve">uidance provides </w:t>
      </w:r>
      <w:r w:rsidR="00803DFD">
        <w:t>more information on the principles behind the application of monetary costs</w:t>
      </w:r>
      <w:r w:rsidR="00803DFD" w:rsidRPr="00326658">
        <w:t xml:space="preserve"> </w:t>
      </w:r>
      <w:r w:rsidR="00803DFD">
        <w:t>and benefits within the Economic Appraisal, including details on:</w:t>
      </w:r>
    </w:p>
    <w:p w:rsidR="00803DFD" w:rsidRDefault="00803DFD" w:rsidP="00803DFD">
      <w:pPr>
        <w:pStyle w:val="StandardBullet0"/>
      </w:pPr>
      <w:r>
        <w:t>The relevant costs and benefits.</w:t>
      </w:r>
    </w:p>
    <w:p w:rsidR="00803DFD" w:rsidRDefault="00803DFD" w:rsidP="00803DFD">
      <w:pPr>
        <w:pStyle w:val="StandardBullet0"/>
      </w:pPr>
      <w:r>
        <w:t>Principles of cost measurement.</w:t>
      </w:r>
    </w:p>
    <w:p w:rsidR="00803DFD" w:rsidRDefault="00803DFD" w:rsidP="00803DFD">
      <w:pPr>
        <w:pStyle w:val="StandardBullet0"/>
      </w:pPr>
      <w:r>
        <w:t>Total versus incremental costs.</w:t>
      </w:r>
    </w:p>
    <w:p w:rsidR="00803DFD" w:rsidRDefault="00803DFD" w:rsidP="00803DFD">
      <w:pPr>
        <w:pStyle w:val="StandardBullet0"/>
      </w:pPr>
      <w:r>
        <w:t>Treatment of taxes and subsidies.</w:t>
      </w:r>
    </w:p>
    <w:p w:rsidR="00803DFD" w:rsidRDefault="00803DFD" w:rsidP="00803DFD">
      <w:pPr>
        <w:pStyle w:val="StandardBullet0"/>
      </w:pPr>
      <w:r>
        <w:t>Treatment of transfer payments.</w:t>
      </w:r>
    </w:p>
    <w:p w:rsidR="00803DFD" w:rsidRDefault="00803DFD" w:rsidP="00803DFD">
      <w:pPr>
        <w:pStyle w:val="StandardBullet0"/>
      </w:pPr>
      <w:r>
        <w:t>Estimating the value of benefits.</w:t>
      </w:r>
    </w:p>
    <w:p w:rsidR="00803DFD" w:rsidRDefault="00803DFD" w:rsidP="00803DFD">
      <w:pPr>
        <w:pStyle w:val="StandardBullet0"/>
      </w:pPr>
      <w:r>
        <w:t>Cost savings, efficiency improvements and redundancies.</w:t>
      </w:r>
    </w:p>
    <w:p w:rsidR="00803DFD" w:rsidRDefault="00803DFD" w:rsidP="00803DFD">
      <w:pPr>
        <w:pStyle w:val="StandardBullet0"/>
      </w:pPr>
      <w:r>
        <w:t>Adjusting for displacement.</w:t>
      </w:r>
    </w:p>
    <w:p w:rsidR="00803DFD" w:rsidRDefault="00803DFD" w:rsidP="00803DFD">
      <w:pPr>
        <w:pStyle w:val="StandardBullet0"/>
      </w:pPr>
      <w:r>
        <w:t>Multiplier effects.</w:t>
      </w:r>
    </w:p>
    <w:p w:rsidR="00803DFD" w:rsidRDefault="00803DFD" w:rsidP="00803DFD">
      <w:pPr>
        <w:pStyle w:val="StandardBullet0"/>
      </w:pPr>
      <w:r>
        <w:t>Appraisal of land, buildings and other assets.</w:t>
      </w:r>
    </w:p>
    <w:p w:rsidR="00803DFD" w:rsidRDefault="00803DFD" w:rsidP="00803DFD">
      <w:pPr>
        <w:pStyle w:val="StandardBullet0"/>
      </w:pPr>
      <w:r>
        <w:t>The acquisition and disposal of assets.</w:t>
      </w:r>
    </w:p>
    <w:p w:rsidR="00803DFD" w:rsidRPr="007E490F" w:rsidRDefault="00803DFD" w:rsidP="00803DFD">
      <w:pPr>
        <w:pStyle w:val="StandardParagraph"/>
        <w:rPr>
          <w:sz w:val="20"/>
        </w:rPr>
      </w:pPr>
      <w:r>
        <w:t xml:space="preserve">The following list provides a checklist of typical capital and revenue costs to be considered as part of the Economic Appraisal, which follows the cost headings found in the Generic Economic Model (GEM model): </w:t>
      </w:r>
    </w:p>
    <w:p w:rsidR="00803DFD" w:rsidRPr="00E700C9" w:rsidRDefault="00803DFD" w:rsidP="00803DFD">
      <w:pPr>
        <w:pStyle w:val="Standardnumberbullet0"/>
      </w:pPr>
      <w:r w:rsidRPr="00310D3B">
        <w:rPr>
          <w:b/>
        </w:rPr>
        <w:t>Opportunity costs</w:t>
      </w:r>
      <w:r w:rsidRPr="00E700C9">
        <w:t xml:space="preserve"> reflect the value of an asset when used in its best alternative activity and is based on up-to-date market valuations of capital assets which are already in ownership, such as land, buildings, equipment and vehicles.</w:t>
      </w:r>
    </w:p>
    <w:p w:rsidR="00803DFD" w:rsidRDefault="00803DFD" w:rsidP="00803DFD">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b/>
        </w:rPr>
      </w:pPr>
      <w:r>
        <w:rPr>
          <w:b/>
        </w:rPr>
        <w:br w:type="page"/>
      </w:r>
    </w:p>
    <w:p w:rsidR="00803DFD" w:rsidRPr="00E700C9" w:rsidRDefault="00803DFD" w:rsidP="00803DFD">
      <w:pPr>
        <w:pStyle w:val="Standardnumberbullet0"/>
      </w:pPr>
      <w:r w:rsidRPr="00310D3B">
        <w:rPr>
          <w:b/>
        </w:rPr>
        <w:lastRenderedPageBreak/>
        <w:t>Initial capital costs</w:t>
      </w:r>
      <w:r>
        <w:t xml:space="preserve"> </w:t>
      </w:r>
      <w:r w:rsidRPr="00E700C9">
        <w:t>are those incurred in order to implement the development, such as:</w:t>
      </w:r>
    </w:p>
    <w:p w:rsidR="00803DFD" w:rsidRPr="00E700C9" w:rsidRDefault="00803DFD" w:rsidP="00803DFD">
      <w:pPr>
        <w:pStyle w:val="Standardsubbullet"/>
      </w:pPr>
      <w:r w:rsidRPr="00E700C9">
        <w:t>purchases of land and buildings, including accommodation for staff, computers, equipment, communications, furniture and vehicles;</w:t>
      </w:r>
    </w:p>
    <w:p w:rsidR="00803DFD" w:rsidRPr="007A3564" w:rsidRDefault="00803DFD" w:rsidP="00803DFD">
      <w:pPr>
        <w:pStyle w:val="Standardsubbullet"/>
      </w:pPr>
      <w:r w:rsidRPr="007A3564">
        <w:t>purchases of equipment, vehicles, hardware and software;</w:t>
      </w:r>
    </w:p>
    <w:p w:rsidR="00803DFD" w:rsidRPr="007A3564" w:rsidRDefault="00803DFD" w:rsidP="00803DFD">
      <w:pPr>
        <w:pStyle w:val="Standardsubbullet"/>
      </w:pPr>
      <w:r w:rsidRPr="007A3564">
        <w:t>installation and implementation costs;</w:t>
      </w:r>
    </w:p>
    <w:p w:rsidR="00803DFD" w:rsidRPr="007A3564" w:rsidRDefault="00803DFD" w:rsidP="00803DFD">
      <w:pPr>
        <w:pStyle w:val="Standardsubbullet"/>
      </w:pPr>
      <w:r w:rsidRPr="007A3564">
        <w:t>development costs including staff costs and consultancy fees;</w:t>
      </w:r>
    </w:p>
    <w:p w:rsidR="00803DFD" w:rsidRPr="007A3564" w:rsidRDefault="00803DFD" w:rsidP="00803DFD">
      <w:pPr>
        <w:pStyle w:val="Standardsubbullet"/>
      </w:pPr>
      <w:r w:rsidRPr="007A3564">
        <w:t>testing;</w:t>
      </w:r>
    </w:p>
    <w:p w:rsidR="00803DFD" w:rsidRPr="007A3564" w:rsidRDefault="00803DFD" w:rsidP="00803DFD">
      <w:pPr>
        <w:pStyle w:val="Standardsubbullet"/>
      </w:pPr>
      <w:r w:rsidRPr="007A3564">
        <w:t>training;</w:t>
      </w:r>
    </w:p>
    <w:p w:rsidR="00803DFD" w:rsidRPr="007A3564" w:rsidRDefault="00803DFD" w:rsidP="00803DFD">
      <w:pPr>
        <w:pStyle w:val="Standardsubbullet"/>
      </w:pPr>
      <w:r w:rsidRPr="007A3564">
        <w:t>infrastructure and works services; and</w:t>
      </w:r>
    </w:p>
    <w:p w:rsidR="00803DFD" w:rsidRDefault="00803DFD" w:rsidP="00803DFD">
      <w:pPr>
        <w:pStyle w:val="Standardsubbullet"/>
      </w:pPr>
      <w:proofErr w:type="gramStart"/>
      <w:r w:rsidRPr="007A3564">
        <w:t>initial</w:t>
      </w:r>
      <w:proofErr w:type="gramEnd"/>
      <w:r w:rsidRPr="007A3564">
        <w:t xml:space="preserve"> security and contingency costs.</w:t>
      </w:r>
    </w:p>
    <w:p w:rsidR="00EF0DB6" w:rsidRDefault="00EF0DB6" w:rsidP="00EF0DB6">
      <w:pPr>
        <w:pStyle w:val="Standardsubbullet"/>
        <w:numPr>
          <w:ilvl w:val="0"/>
          <w:numId w:val="0"/>
        </w:numPr>
        <w:ind w:left="720"/>
      </w:pPr>
      <w:r>
        <w:t>For building projects, the total construction cost should be supported with a full elemental breakdown in the form of a Construction Cost Plan (see the Project Monitoring &amp; Service Benefits Evaluation guide for further details</w:t>
      </w:r>
      <w:r w:rsidR="00DC7B7F">
        <w:t>)</w:t>
      </w:r>
      <w:r>
        <w:t>.</w:t>
      </w:r>
      <w:r w:rsidR="00DC7B7F">
        <w:t xml:space="preserve">  Also, comparative costs are available </w:t>
      </w:r>
      <w:r w:rsidR="00FF7C7F">
        <w:t>from the Value for Money Scorecard and</w:t>
      </w:r>
      <w:r w:rsidR="00DC7B7F">
        <w:t xml:space="preserve"> the Community Infrastructure Benchmark Database hosted by Scottish Futures Trust.</w:t>
      </w:r>
    </w:p>
    <w:p w:rsidR="00803DFD" w:rsidRDefault="00803DFD" w:rsidP="00803DFD">
      <w:pPr>
        <w:pStyle w:val="Standardnumberbullet0"/>
      </w:pPr>
      <w:r w:rsidRPr="00310D3B">
        <w:rPr>
          <w:b/>
        </w:rPr>
        <w:t xml:space="preserve">Lifecycle </w:t>
      </w:r>
      <w:r w:rsidR="00DC7B7F">
        <w:rPr>
          <w:b/>
        </w:rPr>
        <w:t xml:space="preserve">replacement </w:t>
      </w:r>
      <w:r w:rsidRPr="00310D3B">
        <w:rPr>
          <w:b/>
        </w:rPr>
        <w:t>costs</w:t>
      </w:r>
      <w:r w:rsidRPr="00A844D0">
        <w:t xml:space="preserve"> </w:t>
      </w:r>
      <w:r>
        <w:t>are those required to replace individual elements of an asset during the appraisal period which have reached the end of their intended life and will no longer maintain the asset in good / reasonable condition.  This</w:t>
      </w:r>
      <w:r w:rsidRPr="00A77FB4">
        <w:t xml:space="preserve"> may be needed in respect of any of the capital assets employed on the project.</w:t>
      </w:r>
    </w:p>
    <w:p w:rsidR="00803DFD" w:rsidRDefault="00803DFD" w:rsidP="00803DFD">
      <w:pPr>
        <w:pStyle w:val="Standardnumberbullet0"/>
      </w:pPr>
      <w:r w:rsidRPr="00310D3B">
        <w:rPr>
          <w:b/>
        </w:rPr>
        <w:t>Transition period capital costs</w:t>
      </w:r>
      <w:r>
        <w:t xml:space="preserve"> are those which are incurred in order to maintain an existing asset in an appropriate condition until the new asset is available.</w:t>
      </w:r>
    </w:p>
    <w:p w:rsidR="00803DFD" w:rsidRDefault="00803DFD" w:rsidP="00803DFD">
      <w:pPr>
        <w:pStyle w:val="Standardnumberbullet0"/>
      </w:pPr>
      <w:r w:rsidRPr="00310D3B">
        <w:rPr>
          <w:b/>
        </w:rPr>
        <w:t>Costs of ‘embedded accommodation’</w:t>
      </w:r>
      <w:r w:rsidR="00DC7B7F" w:rsidRPr="00DC7B7F">
        <w:t>,</w:t>
      </w:r>
      <w:r>
        <w:t xml:space="preserve"> </w:t>
      </w:r>
      <w:r w:rsidRPr="008F403E">
        <w:t>refe</w:t>
      </w:r>
      <w:r w:rsidRPr="009455E1">
        <w:t>rs</w:t>
      </w:r>
      <w:r>
        <w:t xml:space="preserve"> to the accommodation impact of changes in NHS facilities on </w:t>
      </w:r>
      <w:r w:rsidR="00DC7B7F">
        <w:t xml:space="preserve">an </w:t>
      </w:r>
      <w:r>
        <w:t xml:space="preserve">external organisation.  It would </w:t>
      </w:r>
      <w:r>
        <w:lastRenderedPageBreak/>
        <w:t>include, for example, when a NHS Board plans significant change to its accommodation which contains embedded, or enclosed, accommodation of another organisation.  The accommodation impact of the NHS Board’s proposal on the other organisation will need to be included in the Economic Appraisal.  Such public sector organisations may include the Local Authority, University, or voluntary / charity sectors.</w:t>
      </w:r>
    </w:p>
    <w:p w:rsidR="00803DFD" w:rsidRPr="007A3564" w:rsidRDefault="00803DFD" w:rsidP="00803DFD">
      <w:pPr>
        <w:pStyle w:val="Standardnumberbullet0"/>
      </w:pPr>
      <w:r w:rsidRPr="00310D3B">
        <w:rPr>
          <w:b/>
        </w:rPr>
        <w:t>C</w:t>
      </w:r>
      <w:r w:rsidR="00914C61">
        <w:rPr>
          <w:b/>
        </w:rPr>
        <w:t>linical and non-clinical</w:t>
      </w:r>
      <w:r w:rsidRPr="00310D3B">
        <w:rPr>
          <w:b/>
        </w:rPr>
        <w:t xml:space="preserve"> service costs (and savings) </w:t>
      </w:r>
      <w:r>
        <w:t>describe the operating costs of a service or scheme.  These shall consider the cost implications of anticipated levels and mix of future activity, the different way in which the service will be delivered in the future, and the revenue implications of the key differences across the shortlisted options.  Staff costs will not</w:t>
      </w:r>
      <w:r w:rsidRPr="007A3564">
        <w:t xml:space="preserve"> only </w:t>
      </w:r>
      <w:r>
        <w:t xml:space="preserve">include </w:t>
      </w:r>
      <w:r w:rsidRPr="007A3564">
        <w:t xml:space="preserve">salary costs but also the costs of accommodation, superannuation, employers’ national insurance contributions, allowances and other overheads. Double counting </w:t>
      </w:r>
      <w:r>
        <w:t xml:space="preserve">with other cost categories </w:t>
      </w:r>
      <w:r w:rsidRPr="007A3564">
        <w:t>should</w:t>
      </w:r>
      <w:r>
        <w:t>, however,</w:t>
      </w:r>
      <w:r w:rsidRPr="007A3564">
        <w:t xml:space="preserve"> be avoided. Relevant staff may include those involved in management, operation, support and ongoing training. </w:t>
      </w:r>
    </w:p>
    <w:p w:rsidR="00803DFD" w:rsidRDefault="00803DFD" w:rsidP="00803DFD">
      <w:pPr>
        <w:pStyle w:val="Standardnumberbullet0"/>
      </w:pPr>
      <w:r w:rsidRPr="001B1C22">
        <w:rPr>
          <w:b/>
        </w:rPr>
        <w:t>Buildings related running costs</w:t>
      </w:r>
      <w:r>
        <w:t xml:space="preserve"> include the costs of running the facility, inclusive of ongoing buildings (revenue) maintenance, heat, light and power and business rates.  Buildings related running costs will take account of the proposed facility design and other buildings characteristics, as well as other factors that will affect the different elements of these costs.  Building maintenance costs will need to be consistent with life-cycle costs which will not necessarily reflect historic maintenance costs.  These costs will be </w:t>
      </w:r>
      <w:r w:rsidRPr="001B1C22">
        <w:rPr>
          <w:b/>
        </w:rPr>
        <w:t>included</w:t>
      </w:r>
      <w:r>
        <w:t xml:space="preserve"> within the total revenue costs of the options (rather than as part of capital).</w:t>
      </w:r>
    </w:p>
    <w:p w:rsidR="00803DFD" w:rsidRDefault="00803DFD" w:rsidP="00803DFD">
      <w:pPr>
        <w:pStyle w:val="Standardnumberbullet0"/>
      </w:pPr>
      <w:r w:rsidRPr="001B1C22">
        <w:rPr>
          <w:b/>
        </w:rPr>
        <w:t>Net income contribution</w:t>
      </w:r>
      <w:r>
        <w:t xml:space="preserve"> shall include income generated from non-public sector organisations as a consequence of the investment (for example, as a consequence of private patients</w:t>
      </w:r>
      <w:r w:rsidR="003863F9">
        <w:t>’</w:t>
      </w:r>
      <w:r>
        <w:t xml:space="preserve"> facilities or other income generation activities).  A negative (that is, beneficial) sum, equivalent to the net contribution generated by the activity, will be included within the revenue cost estimate and a positive sum should the net contribution be detrimental to the NHS.</w:t>
      </w:r>
    </w:p>
    <w:p w:rsidR="00914C61" w:rsidRDefault="00914C61" w:rsidP="00914C61">
      <w:pPr>
        <w:pStyle w:val="Standardnumberbullet0"/>
      </w:pPr>
      <w:r>
        <w:rPr>
          <w:b/>
        </w:rPr>
        <w:lastRenderedPageBreak/>
        <w:t>Transition period revenue c</w:t>
      </w:r>
      <w:r w:rsidRPr="00914C61">
        <w:rPr>
          <w:b/>
        </w:rPr>
        <w:t>osts</w:t>
      </w:r>
      <w:r>
        <w:t xml:space="preserve"> </w:t>
      </w:r>
      <w:r w:rsidRPr="00914C61">
        <w:t xml:space="preserve">will include </w:t>
      </w:r>
      <w:r>
        <w:t>any double running costs and decanting costs associated with project implementation, and/or any change management costs required to deliver the new service (i.e. training costs).</w:t>
      </w:r>
    </w:p>
    <w:p w:rsidR="00803DFD" w:rsidRDefault="00803DFD" w:rsidP="00803DFD">
      <w:pPr>
        <w:pStyle w:val="Standardnumberbullet0"/>
      </w:pPr>
      <w:r w:rsidRPr="00940953">
        <w:rPr>
          <w:b/>
        </w:rPr>
        <w:t>Revenue costs of embedded accommodation</w:t>
      </w:r>
      <w:r>
        <w:t xml:space="preserve"> should only be provided at OBC stage if the impact of this investment generates a slightly different (higher or lower) revenue cost for the organisation that is embedded in NHS buildings.</w:t>
      </w:r>
    </w:p>
    <w:p w:rsidR="00803DFD" w:rsidRDefault="00803DFD" w:rsidP="00803DFD">
      <w:pPr>
        <w:pStyle w:val="Standardnumberbullet0"/>
      </w:pPr>
      <w:r w:rsidRPr="00940953">
        <w:rPr>
          <w:b/>
        </w:rPr>
        <w:t xml:space="preserve">Displacement costs </w:t>
      </w:r>
      <w:r>
        <w:t>are those likely to be incurred by any external organisation as a consequence of proposed changes in a NHS Board’s service provision (location or modality).</w:t>
      </w:r>
    </w:p>
    <w:p w:rsidR="00803DFD" w:rsidRPr="000151D6" w:rsidRDefault="00803DFD" w:rsidP="00803DFD">
      <w:pPr>
        <w:pStyle w:val="StandardParagraph"/>
      </w:pPr>
      <w:r>
        <w:t>In addition to the above, all financial benefits - cash releasing and non-cash releasing – must be accounted for in the discounted cash flow to derive the Net Present Value / Cost in the Economic Appraisal.  Their identification should be incorporated into the investment project’s Benefits Register, which will typically fall into the following four categories:</w:t>
      </w:r>
    </w:p>
    <w:p w:rsidR="00803DFD" w:rsidRDefault="00803DFD" w:rsidP="00803DFD">
      <w:pPr>
        <w:pStyle w:val="Standardnumberbullet0"/>
        <w:numPr>
          <w:ilvl w:val="0"/>
          <w:numId w:val="3"/>
        </w:numPr>
      </w:pPr>
      <w:r w:rsidRPr="004C044F">
        <w:rPr>
          <w:b/>
        </w:rPr>
        <w:t xml:space="preserve">Cash Releasing Benefits (CRB) </w:t>
      </w:r>
      <w:proofErr w:type="gramStart"/>
      <w:r w:rsidR="00DC7B7F" w:rsidRPr="00CB517F">
        <w:t>reduce</w:t>
      </w:r>
      <w:proofErr w:type="gramEnd"/>
      <w:r w:rsidRPr="00CB517F">
        <w:t xml:space="preserve"> the costs </w:t>
      </w:r>
      <w:r w:rsidR="00DC7B7F">
        <w:t xml:space="preserve">to an </w:t>
      </w:r>
      <w:r w:rsidRPr="00CB517F">
        <w:t>organisations in such a way that the resources can be re-allocated elsewhere. This typically means that the entire resource is no longer needed for the task for which it was previously used. This can be either staff or materials.</w:t>
      </w:r>
    </w:p>
    <w:p w:rsidR="00803DFD" w:rsidRDefault="00803DFD" w:rsidP="00803DFD">
      <w:pPr>
        <w:pStyle w:val="Standardnumberbullet0"/>
      </w:pPr>
      <w:r w:rsidRPr="00A9492D">
        <w:rPr>
          <w:b/>
        </w:rPr>
        <w:t xml:space="preserve">Financial but non-cash releasing benefits (non- CRB) </w:t>
      </w:r>
      <w:r>
        <w:t>usually involves reducing the time that a particular resource takes to do a particular task, but not sufficiently to re-allocate that resource to a totally different area of work.</w:t>
      </w:r>
    </w:p>
    <w:p w:rsidR="00803DFD" w:rsidRDefault="00803DFD" w:rsidP="00803DFD">
      <w:pPr>
        <w:pStyle w:val="Standardnumberbullet0"/>
      </w:pPr>
      <w:r w:rsidRPr="00D060FF">
        <w:rPr>
          <w:b/>
        </w:rPr>
        <w:t>Quantifiable benefits (QB)</w:t>
      </w:r>
      <w:r>
        <w:rPr>
          <w:b/>
        </w:rPr>
        <w:t xml:space="preserve"> </w:t>
      </w:r>
      <w:r>
        <w:t>can be quantified, but not easily in financial terms – for example ‘reduced travelling time for patients’. The extent to which QBs are measured will depend on their significance but every effort should be made to quantify them financially whenever possible.</w:t>
      </w:r>
    </w:p>
    <w:p w:rsidR="00803DFD" w:rsidRPr="004C044F" w:rsidRDefault="00803DFD" w:rsidP="00803DFD">
      <w:pPr>
        <w:pStyle w:val="Standardnumberbullet0"/>
        <w:rPr>
          <w:szCs w:val="16"/>
        </w:rPr>
      </w:pPr>
      <w:r w:rsidRPr="004C044F">
        <w:rPr>
          <w:b/>
        </w:rPr>
        <w:t>Non-quantifiable (non-QB)</w:t>
      </w:r>
      <w:r w:rsidRPr="004C044F">
        <w:t xml:space="preserve"> are qualitative benefits which are of value to the public sector but cannot be quantified e.g. increased staff morale, protecting biodiversity or enhancing access to green spaces. Whilst the direct benefits of these can be difficult to quantify their associated impacts </w:t>
      </w:r>
      <w:r w:rsidRPr="004C044F">
        <w:lastRenderedPageBreak/>
        <w:t>often can be e.g. evidence that patient recovery times can be faster when views/ access to green space is available.</w:t>
      </w:r>
    </w:p>
    <w:p w:rsidR="00803DFD" w:rsidRPr="004C044F" w:rsidRDefault="00803DFD" w:rsidP="00803DFD">
      <w:pPr>
        <w:pStyle w:val="StandardParagraph"/>
        <w:rPr>
          <w:rFonts w:cs="Arial"/>
          <w:sz w:val="16"/>
          <w:szCs w:val="16"/>
        </w:rPr>
      </w:pPr>
      <w:r w:rsidRPr="00D060FF">
        <w:t>The purpose</w:t>
      </w:r>
      <w:r>
        <w:t xml:space="preserve"> of valuing benefits is to ascertain whether an option’s benefits are worth its costs, and to allow alternative options to be compared systematically in terms of their net benefits or costs.</w:t>
      </w:r>
    </w:p>
    <w:p w:rsidR="00803DFD" w:rsidRDefault="00803DFD" w:rsidP="00803DFD">
      <w:pPr>
        <w:pStyle w:val="StandardParagraph"/>
      </w:pPr>
      <w:r>
        <w:t>All benefits should, where possible, be quantified in monetary terms.  The Economic Appraisal will then take these into account from the perspective of society and the public and private sectors, as well as the organisation.  If the perceived benefits are difficult to quantify then weighting and scoring techniques should be used to evaluate the non-financial benefits.  More information is given in the next section.  Note however that any benefit demonstrated as cash releasing savings should be accounted for in the financial appraisal.</w:t>
      </w:r>
    </w:p>
    <w:p w:rsidR="00803DFD" w:rsidRDefault="00803DFD" w:rsidP="00803DFD">
      <w:pPr>
        <w:pStyle w:val="StandardParagraph"/>
      </w:pPr>
    </w:p>
    <w:p w:rsidR="00803DFD" w:rsidRDefault="00803DFD" w:rsidP="00803DFD">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pPr>
      <w:r>
        <w:br w:type="page"/>
      </w:r>
    </w:p>
    <w:p w:rsidR="00803DFD" w:rsidRDefault="00803DFD" w:rsidP="00803DFD">
      <w:pPr>
        <w:pStyle w:val="Heading1"/>
      </w:pPr>
      <w:r>
        <w:lastRenderedPageBreak/>
        <w:t xml:space="preserve">Estimate </w:t>
      </w:r>
      <w:r w:rsidRPr="0026174E">
        <w:t>non-monetary costs and benefits</w:t>
      </w:r>
    </w:p>
    <w:p w:rsidR="00803DFD" w:rsidRDefault="00803DFD" w:rsidP="00803DFD">
      <w:pPr>
        <w:pStyle w:val="StandardParagraph"/>
      </w:pPr>
      <w:r w:rsidRPr="001D7243">
        <w:t xml:space="preserve">As </w:t>
      </w:r>
      <w:r>
        <w:t>noted in the previous section, wherever possible costs and benefits should be valued in money terms, however, it may not always be practical or cost effective to do so.  Environmental, social or health effects on a project must be taken into account in this category and it should not be assumed that these are any less important than those that can be monetised.</w:t>
      </w:r>
    </w:p>
    <w:p w:rsidR="00803DFD" w:rsidRDefault="0081629E" w:rsidP="00803DFD">
      <w:pPr>
        <w:pStyle w:val="StandardParagraph"/>
      </w:pPr>
      <w:r>
        <w:t>Section 4</w:t>
      </w:r>
      <w:r w:rsidR="00803DFD" w:rsidRPr="001D7243">
        <w:t xml:space="preserve"> of the </w:t>
      </w:r>
      <w:r w:rsidR="00803DFD">
        <w:t xml:space="preserve">SCIM Option Appraisal guidance provides information on suitable ways to carry out assessment of these non-monetary costs and benefits for a given project, which are often referred to as ‘non-financial benefits’ i.e. benefits which cannot be monetised.  Of the </w:t>
      </w:r>
      <w:r>
        <w:t>methods described in section 4</w:t>
      </w:r>
      <w:r w:rsidR="00803DFD">
        <w:t xml:space="preserve"> of the Option Appraisal guidance, t</w:t>
      </w:r>
      <w:r w:rsidR="00803DFD" w:rsidRPr="000151D6">
        <w:t>he weighted scoring method approach is</w:t>
      </w:r>
      <w:r w:rsidR="00803DFD">
        <w:t xml:space="preserve"> the preferred methodology for </w:t>
      </w:r>
      <w:r w:rsidR="00803DFD" w:rsidRPr="000151D6">
        <w:t xml:space="preserve">SGHSCD. </w:t>
      </w:r>
      <w:r w:rsidR="00803DFD">
        <w:t xml:space="preserve"> </w:t>
      </w:r>
      <w:r w:rsidR="00803DFD" w:rsidRPr="00302EAB">
        <w:t xml:space="preserve">It involves identification of (all) the non-monetary factors (‘attributes’ or ‘criteria’) that are </w:t>
      </w:r>
      <w:r w:rsidR="00803DFD" w:rsidRPr="00302EAB">
        <w:rPr>
          <w:b/>
          <w:bCs/>
        </w:rPr>
        <w:t xml:space="preserve">related to the project’s stated </w:t>
      </w:r>
      <w:r w:rsidR="00803DFD">
        <w:rPr>
          <w:b/>
          <w:bCs/>
        </w:rPr>
        <w:t xml:space="preserve">investment </w:t>
      </w:r>
      <w:r w:rsidR="00803DFD" w:rsidRPr="00302EAB">
        <w:rPr>
          <w:b/>
          <w:bCs/>
        </w:rPr>
        <w:t>objectives</w:t>
      </w:r>
      <w:r w:rsidR="00803DFD">
        <w:rPr>
          <w:b/>
          <w:bCs/>
        </w:rPr>
        <w:t xml:space="preserve"> </w:t>
      </w:r>
      <w:r w:rsidR="00803DFD" w:rsidRPr="007F4211">
        <w:rPr>
          <w:bCs/>
        </w:rPr>
        <w:t xml:space="preserve">and should </w:t>
      </w:r>
      <w:r w:rsidR="00803DFD" w:rsidRPr="007F4211">
        <w:t>be defined</w:t>
      </w:r>
      <w:r w:rsidR="00803DFD">
        <w:t xml:space="preserve"> as far as possible in service or output oriented terms</w:t>
      </w:r>
      <w:r w:rsidR="00803DFD" w:rsidRPr="00302EAB">
        <w:t>;</w:t>
      </w:r>
      <w:r w:rsidR="00803DFD" w:rsidRPr="00302EAB">
        <w:rPr>
          <w:b/>
          <w:bCs/>
        </w:rPr>
        <w:t xml:space="preserve"> the</w:t>
      </w:r>
      <w:r w:rsidR="00803DFD">
        <w:rPr>
          <w:b/>
          <w:bCs/>
        </w:rPr>
        <w:t>y</w:t>
      </w:r>
      <w:r w:rsidR="00803DFD" w:rsidRPr="00302EAB">
        <w:rPr>
          <w:b/>
          <w:bCs/>
        </w:rPr>
        <w:t> should also be consistent with the benefits identified in the benefits register.  </w:t>
      </w:r>
      <w:r w:rsidR="00803DFD" w:rsidRPr="00302EAB">
        <w:t>These criteria then have weights allocated to each of them to reflect their relative importance; and the allocation of scores to each option to reflect how it performs in relation to each criterion.  The result is a single</w:t>
      </w:r>
      <w:r w:rsidR="00803DFD">
        <w:t xml:space="preserve"> weighted score for each option</w:t>
      </w:r>
      <w:r w:rsidR="00803DFD" w:rsidRPr="00302EAB">
        <w:t>, which may be used to indicate and compare the overall performance of the options in non-monetary terms.</w:t>
      </w:r>
    </w:p>
    <w:p w:rsidR="00803DFD" w:rsidRDefault="00803DFD" w:rsidP="00803DFD">
      <w:pPr>
        <w:pStyle w:val="StandardParagraph"/>
      </w:pPr>
      <w:r>
        <w:t>More information regarding this approach is described in Appendix 2 of the Option Appraisal Guidance which covers the following six stages:</w:t>
      </w:r>
    </w:p>
    <w:p w:rsidR="00803DFD" w:rsidRPr="009C636E" w:rsidRDefault="00803DFD" w:rsidP="007C16B4">
      <w:pPr>
        <w:pStyle w:val="Standardnumberbullet0"/>
        <w:numPr>
          <w:ilvl w:val="0"/>
          <w:numId w:val="37"/>
        </w:numPr>
      </w:pPr>
      <w:r w:rsidRPr="009C636E">
        <w:t>Identify the relevant non-monetary criteria;</w:t>
      </w:r>
    </w:p>
    <w:p w:rsidR="00803DFD" w:rsidRPr="009C636E" w:rsidRDefault="00803DFD" w:rsidP="00803DFD">
      <w:pPr>
        <w:pStyle w:val="Standardnumberbullet0"/>
      </w:pPr>
      <w:r w:rsidRPr="009C636E">
        <w:t>Weight the criteria to reflect their relative importance;</w:t>
      </w:r>
    </w:p>
    <w:p w:rsidR="00803DFD" w:rsidRPr="009C636E" w:rsidRDefault="00803DFD" w:rsidP="00803DFD">
      <w:pPr>
        <w:pStyle w:val="Standardnumberbullet0"/>
      </w:pPr>
      <w:r w:rsidRPr="009C636E">
        <w:t>Score the options to reflect how each option performs against each criterion;</w:t>
      </w:r>
    </w:p>
    <w:p w:rsidR="00803DFD" w:rsidRPr="009C636E" w:rsidRDefault="00803DFD" w:rsidP="00803DFD">
      <w:pPr>
        <w:pStyle w:val="Standardnumberbullet0"/>
      </w:pPr>
      <w:r w:rsidRPr="009C636E">
        <w:t>Calculate the weighted scores;</w:t>
      </w:r>
    </w:p>
    <w:p w:rsidR="00803DFD" w:rsidRPr="009C636E" w:rsidRDefault="00803DFD" w:rsidP="00803DFD">
      <w:pPr>
        <w:pStyle w:val="Standardnumberbullet0"/>
      </w:pPr>
      <w:r w:rsidRPr="009C636E">
        <w:t>Test the results for robustness; and</w:t>
      </w:r>
    </w:p>
    <w:p w:rsidR="00803DFD" w:rsidRPr="009C636E" w:rsidRDefault="00803DFD" w:rsidP="00803DFD">
      <w:pPr>
        <w:pStyle w:val="Standardnumberbullet0"/>
      </w:pPr>
      <w:r w:rsidRPr="009C636E">
        <w:t>Interpret the results.</w:t>
      </w:r>
    </w:p>
    <w:p w:rsidR="00803DFD" w:rsidRPr="0026174E" w:rsidRDefault="00803DFD" w:rsidP="00803DFD">
      <w:pPr>
        <w:pStyle w:val="Heading1"/>
      </w:pPr>
      <w:r w:rsidRPr="0026174E">
        <w:lastRenderedPageBreak/>
        <w:t xml:space="preserve">Calculate Net Present </w:t>
      </w:r>
      <w:r>
        <w:t>Value (or Cost)</w:t>
      </w:r>
      <w:r w:rsidRPr="0026174E">
        <w:t xml:space="preserve"> and assess uncertainties</w:t>
      </w:r>
    </w:p>
    <w:p w:rsidR="00803DFD" w:rsidRDefault="00803DFD" w:rsidP="00803DFD">
      <w:pPr>
        <w:pStyle w:val="Heading2"/>
        <w:rPr>
          <w:rFonts w:eastAsia="Times New Roman"/>
        </w:rPr>
      </w:pPr>
      <w:r>
        <w:rPr>
          <w:rFonts w:eastAsia="Times New Roman"/>
        </w:rPr>
        <w:t>Net Present Value</w:t>
      </w:r>
    </w:p>
    <w:p w:rsidR="00803DFD" w:rsidRPr="00B12C44" w:rsidRDefault="00803DFD" w:rsidP="00803DFD">
      <w:pPr>
        <w:pStyle w:val="StandardParagraph"/>
      </w:pPr>
      <w:r>
        <w:t>Following the identification and measurement of the costs and benefits for each short listed option, a calculation of their Net Present Value (NPV) should be included using the appropriate discount rate. The NPV is the key summary indicator of the comparative value of an option.  It is the name given to the sum of the discounted benefits of an option less the sum of its discounted costs, all discounted to the same base date.  Where the sum of the discounted costs exceeds the discounted benefits, the net figure may be referr</w:t>
      </w:r>
      <w:r w:rsidR="0074472F">
        <w:t>ed to as Net Present Cost (NPC)</w:t>
      </w:r>
      <w:r>
        <w:t xml:space="preserve">. The decision rule is to select the option that maximises NPV or minimises NPC. </w:t>
      </w:r>
    </w:p>
    <w:p w:rsidR="00803DFD" w:rsidRDefault="00803DFD" w:rsidP="00803DFD">
      <w:pPr>
        <w:pStyle w:val="StandardParagraph"/>
      </w:pPr>
      <w:r w:rsidRPr="00B12C44">
        <w:rPr>
          <w:szCs w:val="22"/>
        </w:rPr>
        <w:t>Discount</w:t>
      </w:r>
      <w:r>
        <w:t xml:space="preserve"> rates are currently 3.5% for up to 30 years.  Values for long term discount rates can be found in Annex 6 of the Green Book. </w:t>
      </w:r>
    </w:p>
    <w:p w:rsidR="00803DFD" w:rsidRDefault="00803DFD" w:rsidP="00803DFD">
      <w:pPr>
        <w:pStyle w:val="StandardParagraph"/>
      </w:pPr>
      <w:r w:rsidRPr="00CA6786">
        <w:t>Discount calculations can be facilitated by the use of software packages. T</w:t>
      </w:r>
      <w:r>
        <w:t>he Generic Economic Model (GEM)</w:t>
      </w:r>
      <w:r w:rsidRPr="00CA6786">
        <w:t xml:space="preserve"> is an Excel spreadsheet suitable for the needs of </w:t>
      </w:r>
      <w:proofErr w:type="spellStart"/>
      <w:r w:rsidRPr="00CA6786">
        <w:t>NHSScotland</w:t>
      </w:r>
      <w:proofErr w:type="spellEnd"/>
      <w:r w:rsidRPr="00CA6786">
        <w:t xml:space="preserve"> bodies.  SGHSCD expects the GEM to be utilised for option appraisal and for GEM outputs to be contained within business cases prepared by </w:t>
      </w:r>
      <w:proofErr w:type="spellStart"/>
      <w:r w:rsidRPr="00CA6786">
        <w:t>NHSScotland</w:t>
      </w:r>
      <w:proofErr w:type="spellEnd"/>
      <w:r w:rsidRPr="00CA6786">
        <w:t xml:space="preserve"> bodies.</w:t>
      </w:r>
    </w:p>
    <w:p w:rsidR="00803DFD" w:rsidRDefault="0074472F" w:rsidP="00803DFD">
      <w:pPr>
        <w:pStyle w:val="StandardParagraph"/>
      </w:pPr>
      <w:r>
        <w:t>A copy of the</w:t>
      </w:r>
      <w:r w:rsidR="00803DFD" w:rsidRPr="00CA6786">
        <w:t xml:space="preserve"> GEM </w:t>
      </w:r>
      <w:r w:rsidR="00803DFD">
        <w:t xml:space="preserve">model </w:t>
      </w:r>
      <w:r>
        <w:t>is available on the SCIM website.</w:t>
      </w:r>
    </w:p>
    <w:p w:rsidR="00803DFD" w:rsidRDefault="0074472F" w:rsidP="00803DFD">
      <w:pPr>
        <w:pStyle w:val="StandardParagraph"/>
      </w:pPr>
      <w:r>
        <w:t>Section 5</w:t>
      </w:r>
      <w:r w:rsidR="00803DFD" w:rsidRPr="00CA6786">
        <w:t xml:space="preserve"> of the SCIM Option Appraisal document provides </w:t>
      </w:r>
      <w:r w:rsidR="00803DFD">
        <w:t>further</w:t>
      </w:r>
      <w:r w:rsidR="00803DFD" w:rsidRPr="00CA6786">
        <w:t xml:space="preserve"> guidance </w:t>
      </w:r>
      <w:r w:rsidR="00803DFD">
        <w:t>on the calculation of NPV in relation to the following:</w:t>
      </w:r>
    </w:p>
    <w:p w:rsidR="00803DFD" w:rsidRDefault="00803DFD" w:rsidP="00803DFD">
      <w:pPr>
        <w:pStyle w:val="StandardBullet0"/>
      </w:pPr>
      <w:r>
        <w:t xml:space="preserve">Discounting rate and net present values / costs </w:t>
      </w:r>
    </w:p>
    <w:p w:rsidR="00803DFD" w:rsidRDefault="00803DFD" w:rsidP="00803DFD">
      <w:pPr>
        <w:pStyle w:val="StandardBullet0"/>
      </w:pPr>
      <w:r>
        <w:t>Treatment of Inflation</w:t>
      </w:r>
      <w:r w:rsidRPr="00864B0C">
        <w:t xml:space="preserve"> </w:t>
      </w:r>
    </w:p>
    <w:p w:rsidR="00803DFD" w:rsidRDefault="00803DFD" w:rsidP="00803DFD">
      <w:pPr>
        <w:pStyle w:val="StandardBullet0"/>
      </w:pPr>
      <w:r>
        <w:t>Adjustment for Optimism Bias</w:t>
      </w:r>
    </w:p>
    <w:p w:rsidR="00803DFD" w:rsidRDefault="00803DFD" w:rsidP="00803DFD">
      <w:pPr>
        <w:pStyle w:val="StandardBullet0"/>
      </w:pPr>
      <w:r>
        <w:t xml:space="preserve">Calculation of NPV and NPC </w:t>
      </w:r>
    </w:p>
    <w:p w:rsidR="00803DFD" w:rsidRDefault="00803DFD" w:rsidP="00803DFD">
      <w:pPr>
        <w:pStyle w:val="StandardBullet0"/>
      </w:pPr>
      <w:r>
        <w:t>Required Rates of Return and Pricing Rules</w:t>
      </w:r>
    </w:p>
    <w:p w:rsidR="00803DFD" w:rsidRDefault="00803DFD" w:rsidP="00803DFD">
      <w:pPr>
        <w:pStyle w:val="Heading2"/>
      </w:pPr>
      <w:r w:rsidRPr="00856462">
        <w:lastRenderedPageBreak/>
        <w:t>Assessing Uncertainty</w:t>
      </w:r>
    </w:p>
    <w:p w:rsidR="00803DFD" w:rsidRPr="00856462" w:rsidRDefault="00803DFD" w:rsidP="00803DFD">
      <w:pPr>
        <w:pStyle w:val="StandardParagraph"/>
      </w:pPr>
      <w:r w:rsidRPr="00856462">
        <w:t>The future is inherently uncertain therefore no matter how thoroughly costs, benefits, risks and timing are identified a</w:t>
      </w:r>
      <w:r>
        <w:t>nd analysed</w:t>
      </w:r>
      <w:r w:rsidRPr="00856462">
        <w:t xml:space="preserve"> there will remain uncertainty over the accuracy of the assumptions made. It is essential to test how these uncertainties may affect the choice between options.</w:t>
      </w:r>
      <w:r>
        <w:t xml:space="preserve"> </w:t>
      </w:r>
      <w:r w:rsidRPr="00856462">
        <w:t>Assessment of uncertainty is chiefly about testing the rigour of the appraisal conclusions.</w:t>
      </w:r>
    </w:p>
    <w:p w:rsidR="00803DFD" w:rsidRPr="009C636E" w:rsidRDefault="00803DFD" w:rsidP="00803DFD">
      <w:pPr>
        <w:pStyle w:val="StandardParagraph"/>
      </w:pPr>
      <w:r w:rsidRPr="009C636E">
        <w:t>The basic procedure is to alter an assumption, recalculate the NP</w:t>
      </w:r>
      <w:r>
        <w:t>C</w:t>
      </w:r>
      <w:r w:rsidRPr="009C636E">
        <w:t xml:space="preserve"> for each option, and </w:t>
      </w:r>
      <w:r>
        <w:t xml:space="preserve">then </w:t>
      </w:r>
      <w:r w:rsidRPr="009C636E">
        <w:t xml:space="preserve">consider the impact on both the total net benefits and </w:t>
      </w:r>
      <w:r>
        <w:t xml:space="preserve">costs </w:t>
      </w:r>
      <w:r w:rsidRPr="009C636E">
        <w:t>on the balance of advantage between the options.</w:t>
      </w:r>
    </w:p>
    <w:p w:rsidR="00803DFD" w:rsidRDefault="00803DFD" w:rsidP="00803DFD">
      <w:pPr>
        <w:pStyle w:val="StandardParagraph"/>
      </w:pPr>
      <w:r w:rsidRPr="00856462">
        <w:t xml:space="preserve">Sensitivity analysis is the key technique for this purpose and it is fundamental to appraisal. It is the process of examining how options </w:t>
      </w:r>
      <w:r>
        <w:t>are</w:t>
      </w:r>
      <w:r w:rsidRPr="00856462">
        <w:t xml:space="preserve"> affected </w:t>
      </w:r>
      <w:r>
        <w:t>relative to each other by</w:t>
      </w:r>
      <w:r w:rsidRPr="00856462">
        <w:t xml:space="preserve"> reasonable variations in key assumptions. </w:t>
      </w:r>
      <w:r>
        <w:t xml:space="preserve"> </w:t>
      </w:r>
      <w:r w:rsidRPr="00856462">
        <w:t>Its purpose is to influence the option selection decision; it is not something to be applied merely to a preferred option after it has been selected.</w:t>
      </w:r>
    </w:p>
    <w:p w:rsidR="00803DFD" w:rsidRPr="00856462" w:rsidRDefault="00803DFD" w:rsidP="00803DFD">
      <w:pPr>
        <w:pStyle w:val="StandardParagraph"/>
      </w:pPr>
      <w:r>
        <w:t>The areas of uncertainty which might be considered in the Economic Appraisal include variations in assumptions in respect of:</w:t>
      </w:r>
    </w:p>
    <w:p w:rsidR="00803DFD" w:rsidRDefault="00803DFD" w:rsidP="00803DFD">
      <w:pPr>
        <w:pStyle w:val="StandardBullet0"/>
      </w:pPr>
      <w:r>
        <w:t>Activity forecasts (and hence potentially provision levels and costs)</w:t>
      </w:r>
    </w:p>
    <w:p w:rsidR="00803DFD" w:rsidRDefault="00803DFD" w:rsidP="00803DFD">
      <w:pPr>
        <w:pStyle w:val="StandardBullet0"/>
      </w:pPr>
      <w:r>
        <w:t>Performance targets (and hence potentially provision levels and costs)</w:t>
      </w:r>
    </w:p>
    <w:p w:rsidR="00803DFD" w:rsidRDefault="00803DFD" w:rsidP="00803DFD">
      <w:pPr>
        <w:pStyle w:val="StandardBullet0"/>
      </w:pPr>
      <w:r>
        <w:t>Timing and value of property purchase, sale and transactions</w:t>
      </w:r>
    </w:p>
    <w:p w:rsidR="00803DFD" w:rsidRDefault="00803DFD" w:rsidP="00803DFD">
      <w:pPr>
        <w:pStyle w:val="StandardBullet0"/>
      </w:pPr>
      <w:r>
        <w:t>Capital cost estimates (initial and life-cycle)</w:t>
      </w:r>
    </w:p>
    <w:p w:rsidR="00803DFD" w:rsidRDefault="00803DFD" w:rsidP="00803DFD">
      <w:pPr>
        <w:pStyle w:val="StandardBullet0"/>
      </w:pPr>
      <w:r>
        <w:t>Revenue costs and savings (in total and/or key categories)</w:t>
      </w:r>
    </w:p>
    <w:p w:rsidR="00803DFD" w:rsidRDefault="00803DFD" w:rsidP="00803DFD">
      <w:pPr>
        <w:pStyle w:val="StandardBullet0"/>
      </w:pPr>
      <w:r>
        <w:t>Net income effects</w:t>
      </w:r>
    </w:p>
    <w:p w:rsidR="00803DFD" w:rsidRDefault="00803DFD" w:rsidP="00803DFD">
      <w:pPr>
        <w:pStyle w:val="StandardBullet0"/>
      </w:pPr>
      <w:r>
        <w:t>Displacement costs/externalities</w:t>
      </w:r>
    </w:p>
    <w:p w:rsidR="00803DFD" w:rsidRDefault="00803DFD" w:rsidP="00803DFD">
      <w:pPr>
        <w:pStyle w:val="StandardBullet0"/>
      </w:pPr>
      <w:r>
        <w:t>The scheme implementation programme (and hence transition costs and the timing of investment costs)</w:t>
      </w:r>
    </w:p>
    <w:p w:rsidR="00803DFD" w:rsidRDefault="00803DFD" w:rsidP="00803DFD">
      <w:pPr>
        <w:pStyle w:val="StandardBullet0"/>
      </w:pPr>
      <w:r>
        <w:t xml:space="preserve">Any potential differential impact of inflation on the cost components of the </w:t>
      </w:r>
      <w:r>
        <w:lastRenderedPageBreak/>
        <w:t>economic analysis not reflected in the baseline analysis</w:t>
      </w:r>
    </w:p>
    <w:p w:rsidR="00803DFD" w:rsidRDefault="00803DFD" w:rsidP="00803DFD">
      <w:pPr>
        <w:pStyle w:val="StandardBullet0"/>
      </w:pPr>
      <w:r>
        <w:t>Discounting assumptions such as appraisal period.</w:t>
      </w:r>
    </w:p>
    <w:p w:rsidR="00803DFD" w:rsidRDefault="00803DFD" w:rsidP="00803DFD">
      <w:pPr>
        <w:pStyle w:val="StandardParagraph"/>
      </w:pPr>
      <w:r>
        <w:t xml:space="preserve">Further guidance on Sensitivity Analysis is provided in Section </w:t>
      </w:r>
      <w:r w:rsidR="0074472F">
        <w:t>5.6</w:t>
      </w:r>
      <w:r>
        <w:t xml:space="preserve"> of the SCIM Option Appraisal Guide, with the GEM model providing the facility to carry out this testing.</w:t>
      </w:r>
    </w:p>
    <w:p w:rsidR="00803DFD" w:rsidRDefault="00803DFD" w:rsidP="00803DFD">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pPr>
    </w:p>
    <w:p w:rsidR="00803DFD" w:rsidRDefault="00803DFD" w:rsidP="00803DFD">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pPr>
      <w:r>
        <w:br w:type="page"/>
      </w:r>
    </w:p>
    <w:p w:rsidR="00803DFD" w:rsidRPr="00770EE2" w:rsidRDefault="00803DFD" w:rsidP="00803DFD">
      <w:pPr>
        <w:pStyle w:val="Heading1"/>
      </w:pPr>
      <w:r>
        <w:lastRenderedPageBreak/>
        <w:t>Present Appraisal Results</w:t>
      </w:r>
    </w:p>
    <w:p w:rsidR="00803DFD" w:rsidRDefault="00803DFD" w:rsidP="00803DFD">
      <w:pPr>
        <w:pStyle w:val="StandardParagraph"/>
      </w:pPr>
      <w:r w:rsidRPr="005F0A78">
        <w:t xml:space="preserve">The ultimate outcome of any appraisal is a decision </w:t>
      </w:r>
      <w:r>
        <w:t xml:space="preserve">on </w:t>
      </w:r>
      <w:r w:rsidRPr="005F0A78">
        <w:t>whether or not to proceed with a proposal or a particular option. Such decisions can have far reaching consequences therefore the presentation of the results and conclusions of an appraisal to decision makers and stakeholders can be as important as the analysis itself.</w:t>
      </w:r>
    </w:p>
    <w:p w:rsidR="00803DFD" w:rsidRDefault="00803DFD" w:rsidP="00803DFD">
      <w:pPr>
        <w:pStyle w:val="StandardParagraph"/>
      </w:pPr>
      <w:r w:rsidRPr="005F0A78">
        <w:t>In all cases transparency is vital. The presentation of the option appraisal in the business case should be comprehensive and include all of the step</w:t>
      </w:r>
      <w:r>
        <w:t>s of appraisal listed and</w:t>
      </w:r>
      <w:r w:rsidRPr="005F0A78">
        <w:t xml:space="preserve"> make the analysis accessible to personnel who do not have an intimate knowledge of the project but need to make judgements based upon the information given. </w:t>
      </w:r>
      <w:r>
        <w:t xml:space="preserve"> </w:t>
      </w:r>
      <w:r w:rsidRPr="005F0A78">
        <w:t xml:space="preserve">Presentation should be clear, logical, well founded and geared towards helping the decision at hand. </w:t>
      </w:r>
      <w:r>
        <w:t xml:space="preserve"> </w:t>
      </w:r>
      <w:r w:rsidRPr="005F0A78">
        <w:t xml:space="preserve">Business </w:t>
      </w:r>
      <w:r>
        <w:t>C</w:t>
      </w:r>
      <w:r w:rsidRPr="005F0A78">
        <w:t>ases in particular should be drafted in non-technical language wherever possible, but if it is necessary to use technical terms, they should be explained.</w:t>
      </w:r>
    </w:p>
    <w:p w:rsidR="00803DFD" w:rsidRDefault="00803DFD" w:rsidP="00803DFD">
      <w:pPr>
        <w:pStyle w:val="StandardParagraph"/>
      </w:pPr>
      <w:r w:rsidRPr="005F0A78">
        <w:t xml:space="preserve">It is important to include a section which draws together the main findings and conclusions of the appraisal. </w:t>
      </w:r>
      <w:r>
        <w:t xml:space="preserve"> The next section provides an example of how the results of the Economic Appraisal can be presented.</w:t>
      </w:r>
    </w:p>
    <w:p w:rsidR="00803DFD" w:rsidRDefault="0074472F" w:rsidP="00803DFD">
      <w:pPr>
        <w:pStyle w:val="StandardParagraph"/>
      </w:pPr>
      <w:r>
        <w:t>Section 6</w:t>
      </w:r>
      <w:r w:rsidR="00803DFD">
        <w:t xml:space="preserve"> of the SCIM Option Appraisal guidance provides further information on this important topic.</w:t>
      </w:r>
    </w:p>
    <w:p w:rsidR="00803DFD" w:rsidRDefault="00803DFD" w:rsidP="00803DFD">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pPr>
      <w:r>
        <w:br w:type="page"/>
      </w:r>
    </w:p>
    <w:p w:rsidR="00803DFD" w:rsidRDefault="00803DFD" w:rsidP="00803DFD">
      <w:pPr>
        <w:pStyle w:val="Heading1"/>
      </w:pPr>
      <w:r>
        <w:lastRenderedPageBreak/>
        <w:t>Economic Appraisal Template</w:t>
      </w:r>
    </w:p>
    <w:p w:rsidR="00803DFD" w:rsidRDefault="00803DFD" w:rsidP="00803DFD">
      <w:pPr>
        <w:pStyle w:val="StandardParagraph"/>
      </w:pPr>
      <w:r>
        <w:t>The following sections provide an example of how the results of the Economic Appraisal can be presented and an indication of the principles to follow.  This may, however, be adapted to suit local circumstances.</w:t>
      </w:r>
    </w:p>
    <w:p w:rsidR="00803DFD" w:rsidRDefault="00803DFD" w:rsidP="00803DFD">
      <w:pPr>
        <w:pStyle w:val="Heading2"/>
      </w:pPr>
      <w:r>
        <w:t>Introduction</w:t>
      </w:r>
    </w:p>
    <w:p w:rsidR="00803DFD" w:rsidRDefault="00803DFD" w:rsidP="00803DFD">
      <w:pPr>
        <w:pStyle w:val="StandardParagraph"/>
      </w:pPr>
      <w:r>
        <w:t>This section should start by explaining the approach taken in developing the economic appraisal, the level of engagement with stakeholders, the date of any workshops held, and reference to those who attended</w:t>
      </w:r>
      <w:r w:rsidR="0074472F">
        <w:t>.</w:t>
      </w:r>
    </w:p>
    <w:p w:rsidR="00803DFD" w:rsidRDefault="00803DFD" w:rsidP="00803DFD">
      <w:pPr>
        <w:pStyle w:val="Heading2"/>
      </w:pPr>
      <w:r>
        <w:t>Monetary Costs and Benefits</w:t>
      </w:r>
    </w:p>
    <w:p w:rsidR="00803DFD" w:rsidRDefault="00803DFD" w:rsidP="00803DFD">
      <w:pPr>
        <w:pStyle w:val="StandardParagraph"/>
      </w:pPr>
      <w:r>
        <w:t xml:space="preserve">The following two tables can be used to set out the initial capital and revenue cost inputs to the GEM model related to each option.  They should be expressed as an undiscounted annual recurring cost for each category.  Where this changes over the appraisal period (e.g. life cycle costs) then an indicative average annual cost over that period can be given, but with supporting information explaining that variance.  The cost categories in the following table align with the GEM model cost headings, which may be indicated as </w:t>
      </w:r>
      <w:proofErr w:type="gramStart"/>
      <w:r>
        <w:t>n/a</w:t>
      </w:r>
      <w:proofErr w:type="gramEnd"/>
      <w:r>
        <w:t xml:space="preserve"> where not applicable to any options.</w:t>
      </w:r>
    </w:p>
    <w:tbl>
      <w:tblPr>
        <w:tblW w:w="0" w:type="auto"/>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2411"/>
        <w:gridCol w:w="1718"/>
        <w:gridCol w:w="1718"/>
        <w:gridCol w:w="1718"/>
        <w:gridCol w:w="1719"/>
      </w:tblGrid>
      <w:tr w:rsidR="00803DFD" w:rsidRPr="00FA2FC5" w:rsidTr="00803DFD">
        <w:trPr>
          <w:trHeight w:val="438"/>
        </w:trPr>
        <w:tc>
          <w:tcPr>
            <w:tcW w:w="2411"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spacing w:before="120" w:after="120"/>
              <w:contextualSpacing w:val="0"/>
              <w:jc w:val="center"/>
              <w:rPr>
                <w:b/>
                <w:color w:val="FFFFFF" w:themeColor="background1"/>
              </w:rPr>
            </w:pPr>
            <w:r w:rsidRPr="008453B8">
              <w:rPr>
                <w:b/>
                <w:color w:val="FFFFFF" w:themeColor="background1"/>
              </w:rPr>
              <w:t>Initial Cost Implications:</w:t>
            </w:r>
          </w:p>
        </w:tc>
        <w:tc>
          <w:tcPr>
            <w:tcW w:w="1718"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spacing w:before="120" w:after="120"/>
              <w:contextualSpacing w:val="0"/>
              <w:jc w:val="center"/>
              <w:rPr>
                <w:b/>
                <w:color w:val="FFFFFF" w:themeColor="background1"/>
              </w:rPr>
            </w:pPr>
            <w:r w:rsidRPr="008453B8">
              <w:rPr>
                <w:b/>
                <w:color w:val="FFFFFF" w:themeColor="background1"/>
              </w:rPr>
              <w:t>Option 1</w:t>
            </w:r>
          </w:p>
        </w:tc>
        <w:tc>
          <w:tcPr>
            <w:tcW w:w="1718"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spacing w:before="120" w:after="120"/>
              <w:contextualSpacing w:val="0"/>
              <w:jc w:val="center"/>
              <w:rPr>
                <w:b/>
                <w:color w:val="FFFFFF" w:themeColor="background1"/>
              </w:rPr>
            </w:pPr>
            <w:r w:rsidRPr="008453B8">
              <w:rPr>
                <w:b/>
                <w:color w:val="FFFFFF" w:themeColor="background1"/>
              </w:rPr>
              <w:t>Option 2</w:t>
            </w:r>
          </w:p>
        </w:tc>
        <w:tc>
          <w:tcPr>
            <w:tcW w:w="1718"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spacing w:before="120" w:after="120"/>
              <w:contextualSpacing w:val="0"/>
              <w:jc w:val="center"/>
              <w:rPr>
                <w:b/>
                <w:color w:val="FFFFFF" w:themeColor="background1"/>
              </w:rPr>
            </w:pPr>
            <w:r w:rsidRPr="008453B8">
              <w:rPr>
                <w:b/>
                <w:color w:val="FFFFFF" w:themeColor="background1"/>
              </w:rPr>
              <w:t>Option 3</w:t>
            </w:r>
          </w:p>
        </w:tc>
        <w:tc>
          <w:tcPr>
            <w:tcW w:w="1719"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spacing w:before="120" w:after="120"/>
              <w:contextualSpacing w:val="0"/>
              <w:jc w:val="center"/>
              <w:rPr>
                <w:b/>
                <w:color w:val="FFFFFF" w:themeColor="background1"/>
              </w:rPr>
            </w:pPr>
            <w:r w:rsidRPr="008453B8">
              <w:rPr>
                <w:b/>
                <w:color w:val="FFFFFF" w:themeColor="background1"/>
              </w:rPr>
              <w:t>Option 4</w:t>
            </w:r>
          </w:p>
        </w:tc>
      </w:tr>
      <w:tr w:rsidR="00803DFD" w:rsidRPr="00FA2FC5" w:rsidTr="00803DFD">
        <w:trPr>
          <w:trHeight w:val="410"/>
        </w:trPr>
        <w:tc>
          <w:tcPr>
            <w:tcW w:w="2411" w:type="dxa"/>
            <w:tcBorders>
              <w:top w:val="single" w:sz="6" w:space="0" w:color="auto"/>
            </w:tcBorders>
            <w:vAlign w:val="center"/>
          </w:tcPr>
          <w:p w:rsidR="00803DFD" w:rsidRPr="00FA2FC5" w:rsidRDefault="00803DFD" w:rsidP="00803DFD">
            <w:pPr>
              <w:pStyle w:val="StandardParagraphTable"/>
            </w:pPr>
            <w:r>
              <w:t>Opportunity Costs</w:t>
            </w:r>
          </w:p>
        </w:tc>
        <w:tc>
          <w:tcPr>
            <w:tcW w:w="1718" w:type="dxa"/>
            <w:tcBorders>
              <w:top w:val="single" w:sz="6" w:space="0" w:color="auto"/>
            </w:tcBorders>
            <w:vAlign w:val="center"/>
          </w:tcPr>
          <w:p w:rsidR="00803DFD" w:rsidRPr="00FA2FC5" w:rsidRDefault="00803DFD" w:rsidP="00803DFD">
            <w:pPr>
              <w:pStyle w:val="StandardParagraphTable"/>
              <w:jc w:val="center"/>
            </w:pPr>
          </w:p>
        </w:tc>
        <w:tc>
          <w:tcPr>
            <w:tcW w:w="1718" w:type="dxa"/>
            <w:tcBorders>
              <w:top w:val="single" w:sz="6" w:space="0" w:color="auto"/>
            </w:tcBorders>
            <w:vAlign w:val="center"/>
          </w:tcPr>
          <w:p w:rsidR="00803DFD" w:rsidRPr="00FA2FC5" w:rsidRDefault="00803DFD" w:rsidP="00803DFD">
            <w:pPr>
              <w:pStyle w:val="StandardParagraphTable"/>
              <w:jc w:val="center"/>
            </w:pPr>
          </w:p>
        </w:tc>
        <w:tc>
          <w:tcPr>
            <w:tcW w:w="1718" w:type="dxa"/>
            <w:tcBorders>
              <w:top w:val="single" w:sz="6" w:space="0" w:color="auto"/>
            </w:tcBorders>
            <w:vAlign w:val="center"/>
          </w:tcPr>
          <w:p w:rsidR="00803DFD" w:rsidRPr="00FA2FC5" w:rsidRDefault="00803DFD" w:rsidP="00803DFD">
            <w:pPr>
              <w:pStyle w:val="StandardParagraphTable"/>
              <w:jc w:val="center"/>
            </w:pPr>
          </w:p>
        </w:tc>
        <w:tc>
          <w:tcPr>
            <w:tcW w:w="1719" w:type="dxa"/>
            <w:tcBorders>
              <w:top w:val="single" w:sz="6" w:space="0" w:color="auto"/>
            </w:tcBorders>
            <w:vAlign w:val="center"/>
          </w:tcPr>
          <w:p w:rsidR="00803DFD" w:rsidRPr="00FA2FC5" w:rsidRDefault="00803DFD" w:rsidP="00803DFD">
            <w:pPr>
              <w:pStyle w:val="StandardParagraphTable"/>
              <w:jc w:val="center"/>
            </w:pPr>
          </w:p>
        </w:tc>
      </w:tr>
      <w:tr w:rsidR="00803DFD" w:rsidRPr="00FA2FC5" w:rsidTr="00803DFD">
        <w:trPr>
          <w:trHeight w:val="410"/>
        </w:trPr>
        <w:tc>
          <w:tcPr>
            <w:tcW w:w="2411" w:type="dxa"/>
            <w:vAlign w:val="center"/>
          </w:tcPr>
          <w:p w:rsidR="00803DFD" w:rsidRPr="00FA2FC5" w:rsidRDefault="00803DFD" w:rsidP="00803DFD">
            <w:pPr>
              <w:pStyle w:val="StandardParagraphTable"/>
            </w:pPr>
            <w:r>
              <w:t>Initial Capital Costs</w:t>
            </w: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9" w:type="dxa"/>
            <w:vAlign w:val="center"/>
          </w:tcPr>
          <w:p w:rsidR="00803DFD" w:rsidRPr="00FA2FC5" w:rsidRDefault="00803DFD" w:rsidP="00803DFD">
            <w:pPr>
              <w:pStyle w:val="StandardParagraphTable"/>
              <w:jc w:val="center"/>
            </w:pPr>
          </w:p>
        </w:tc>
      </w:tr>
      <w:tr w:rsidR="00803DFD" w:rsidRPr="00FA2FC5" w:rsidTr="00803DFD">
        <w:trPr>
          <w:trHeight w:val="410"/>
        </w:trPr>
        <w:tc>
          <w:tcPr>
            <w:tcW w:w="2411" w:type="dxa"/>
            <w:vAlign w:val="center"/>
          </w:tcPr>
          <w:p w:rsidR="00803DFD" w:rsidRPr="00FA2FC5" w:rsidRDefault="00803DFD" w:rsidP="00803DFD">
            <w:pPr>
              <w:pStyle w:val="StandardParagraphTable"/>
            </w:pPr>
            <w:r>
              <w:t>Transitional Period Costs</w:t>
            </w: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9" w:type="dxa"/>
            <w:vAlign w:val="center"/>
          </w:tcPr>
          <w:p w:rsidR="00803DFD" w:rsidRPr="00FA2FC5" w:rsidRDefault="00803DFD" w:rsidP="00803DFD">
            <w:pPr>
              <w:pStyle w:val="StandardParagraphTable"/>
              <w:jc w:val="center"/>
            </w:pPr>
          </w:p>
        </w:tc>
      </w:tr>
      <w:tr w:rsidR="00803DFD" w:rsidRPr="00FA2FC5" w:rsidTr="00803DFD">
        <w:trPr>
          <w:trHeight w:val="410"/>
        </w:trPr>
        <w:tc>
          <w:tcPr>
            <w:tcW w:w="2411" w:type="dxa"/>
            <w:vAlign w:val="center"/>
          </w:tcPr>
          <w:p w:rsidR="00803DFD" w:rsidRPr="00FA2FC5" w:rsidRDefault="00803DFD" w:rsidP="00803DFD">
            <w:pPr>
              <w:pStyle w:val="StandardParagraphTable"/>
            </w:pPr>
            <w:r>
              <w:t>Costs of Embedded Accommodation</w:t>
            </w: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9" w:type="dxa"/>
            <w:vAlign w:val="center"/>
          </w:tcPr>
          <w:p w:rsidR="00803DFD" w:rsidRPr="00FA2FC5" w:rsidRDefault="00803DFD" w:rsidP="00803DFD">
            <w:pPr>
              <w:pStyle w:val="StandardParagraphTable"/>
              <w:jc w:val="center"/>
            </w:pPr>
          </w:p>
        </w:tc>
      </w:tr>
      <w:tr w:rsidR="00803DFD" w:rsidRPr="00FA2FC5" w:rsidTr="00803DFD">
        <w:trPr>
          <w:trHeight w:val="410"/>
        </w:trPr>
        <w:tc>
          <w:tcPr>
            <w:tcW w:w="2411" w:type="dxa"/>
            <w:vAlign w:val="center"/>
          </w:tcPr>
          <w:p w:rsidR="00803DFD" w:rsidRPr="00FA2FC5" w:rsidRDefault="00803DFD" w:rsidP="00803DFD">
            <w:pPr>
              <w:pStyle w:val="StandardParagraphTable"/>
            </w:pPr>
            <w:r w:rsidRPr="00FA2FC5">
              <w:t>Total of initial cost implications</w:t>
            </w: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9" w:type="dxa"/>
            <w:vAlign w:val="center"/>
          </w:tcPr>
          <w:p w:rsidR="00803DFD" w:rsidRPr="00FA2FC5" w:rsidRDefault="00803DFD" w:rsidP="00803DFD">
            <w:pPr>
              <w:pStyle w:val="StandardParagraphTable"/>
              <w:jc w:val="center"/>
            </w:pPr>
          </w:p>
        </w:tc>
      </w:tr>
    </w:tbl>
    <w:p w:rsidR="00803DFD" w:rsidRDefault="00803DFD" w:rsidP="00803DFD">
      <w:pPr>
        <w:pStyle w:val="NoSpacing"/>
      </w:pPr>
    </w:p>
    <w:p w:rsidR="00803DFD" w:rsidRDefault="00803DFD" w:rsidP="00803DFD">
      <w:r>
        <w:br w:type="page"/>
      </w:r>
    </w:p>
    <w:tbl>
      <w:tblPr>
        <w:tblW w:w="0" w:type="auto"/>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2411"/>
        <w:gridCol w:w="1718"/>
        <w:gridCol w:w="1718"/>
        <w:gridCol w:w="1718"/>
        <w:gridCol w:w="1719"/>
      </w:tblGrid>
      <w:tr w:rsidR="00803DFD" w:rsidRPr="00FA2FC5" w:rsidTr="00803DFD">
        <w:trPr>
          <w:trHeight w:val="438"/>
        </w:trPr>
        <w:tc>
          <w:tcPr>
            <w:tcW w:w="2411"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spacing w:before="120" w:after="120"/>
              <w:contextualSpacing w:val="0"/>
              <w:jc w:val="center"/>
              <w:rPr>
                <w:b/>
                <w:color w:val="FFFFFF" w:themeColor="background1"/>
              </w:rPr>
            </w:pPr>
            <w:r w:rsidRPr="008453B8">
              <w:rPr>
                <w:b/>
                <w:color w:val="FFFFFF" w:themeColor="background1"/>
              </w:rPr>
              <w:lastRenderedPageBreak/>
              <w:t>Revenue Cost Implications:</w:t>
            </w:r>
          </w:p>
        </w:tc>
        <w:tc>
          <w:tcPr>
            <w:tcW w:w="1718"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Option 1</w:t>
            </w:r>
          </w:p>
        </w:tc>
        <w:tc>
          <w:tcPr>
            <w:tcW w:w="1718"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Option 2</w:t>
            </w:r>
          </w:p>
        </w:tc>
        <w:tc>
          <w:tcPr>
            <w:tcW w:w="1718"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Option 3</w:t>
            </w:r>
          </w:p>
        </w:tc>
        <w:tc>
          <w:tcPr>
            <w:tcW w:w="1719"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Option 4</w:t>
            </w:r>
          </w:p>
        </w:tc>
      </w:tr>
      <w:tr w:rsidR="00803DFD" w:rsidRPr="00FA2FC5" w:rsidTr="00803DFD">
        <w:trPr>
          <w:trHeight w:val="410"/>
        </w:trPr>
        <w:tc>
          <w:tcPr>
            <w:tcW w:w="2411" w:type="dxa"/>
            <w:tcBorders>
              <w:top w:val="single" w:sz="6" w:space="0" w:color="auto"/>
            </w:tcBorders>
            <w:vAlign w:val="center"/>
          </w:tcPr>
          <w:p w:rsidR="00803DFD" w:rsidRPr="00FA2FC5" w:rsidRDefault="00803DFD" w:rsidP="00803DFD">
            <w:pPr>
              <w:pStyle w:val="StandardParagraphTable"/>
            </w:pPr>
            <w:r>
              <w:t>Life Cycle Costs</w:t>
            </w:r>
          </w:p>
        </w:tc>
        <w:tc>
          <w:tcPr>
            <w:tcW w:w="1718" w:type="dxa"/>
            <w:tcBorders>
              <w:top w:val="single" w:sz="6" w:space="0" w:color="auto"/>
            </w:tcBorders>
            <w:vAlign w:val="center"/>
          </w:tcPr>
          <w:p w:rsidR="00803DFD" w:rsidRPr="00FA2FC5" w:rsidRDefault="00803DFD" w:rsidP="00803DFD">
            <w:pPr>
              <w:pStyle w:val="StandardParagraphTable"/>
              <w:jc w:val="center"/>
            </w:pPr>
          </w:p>
        </w:tc>
        <w:tc>
          <w:tcPr>
            <w:tcW w:w="1718" w:type="dxa"/>
            <w:tcBorders>
              <w:top w:val="single" w:sz="6" w:space="0" w:color="auto"/>
            </w:tcBorders>
            <w:vAlign w:val="center"/>
          </w:tcPr>
          <w:p w:rsidR="00803DFD" w:rsidRPr="00FA2FC5" w:rsidRDefault="00803DFD" w:rsidP="00803DFD">
            <w:pPr>
              <w:pStyle w:val="StandardParagraphTable"/>
              <w:jc w:val="center"/>
            </w:pPr>
          </w:p>
        </w:tc>
        <w:tc>
          <w:tcPr>
            <w:tcW w:w="1718" w:type="dxa"/>
            <w:tcBorders>
              <w:top w:val="single" w:sz="6" w:space="0" w:color="auto"/>
            </w:tcBorders>
            <w:vAlign w:val="center"/>
          </w:tcPr>
          <w:p w:rsidR="00803DFD" w:rsidRPr="00FA2FC5" w:rsidRDefault="00803DFD" w:rsidP="00803DFD">
            <w:pPr>
              <w:pStyle w:val="StandardParagraphTable"/>
              <w:jc w:val="center"/>
            </w:pPr>
          </w:p>
        </w:tc>
        <w:tc>
          <w:tcPr>
            <w:tcW w:w="1719" w:type="dxa"/>
            <w:tcBorders>
              <w:top w:val="single" w:sz="6" w:space="0" w:color="auto"/>
            </w:tcBorders>
            <w:vAlign w:val="center"/>
          </w:tcPr>
          <w:p w:rsidR="00803DFD" w:rsidRPr="00FA2FC5" w:rsidRDefault="00803DFD" w:rsidP="00803DFD">
            <w:pPr>
              <w:pStyle w:val="StandardParagraphTable"/>
              <w:jc w:val="center"/>
            </w:pPr>
          </w:p>
        </w:tc>
      </w:tr>
      <w:tr w:rsidR="00803DFD" w:rsidRPr="00FA2FC5" w:rsidTr="00803DFD">
        <w:trPr>
          <w:trHeight w:val="410"/>
        </w:trPr>
        <w:tc>
          <w:tcPr>
            <w:tcW w:w="2411" w:type="dxa"/>
            <w:vAlign w:val="center"/>
          </w:tcPr>
          <w:p w:rsidR="00803DFD" w:rsidRPr="00FA2FC5" w:rsidRDefault="00803DFD" w:rsidP="00803DFD">
            <w:pPr>
              <w:pStyle w:val="StandardParagraphTable"/>
            </w:pPr>
            <w:r>
              <w:t>Clinical Service Costs</w:t>
            </w: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9" w:type="dxa"/>
            <w:vAlign w:val="center"/>
          </w:tcPr>
          <w:p w:rsidR="00803DFD" w:rsidRPr="00FA2FC5" w:rsidRDefault="00803DFD" w:rsidP="00803DFD">
            <w:pPr>
              <w:pStyle w:val="StandardParagraphTable"/>
              <w:jc w:val="center"/>
            </w:pPr>
          </w:p>
        </w:tc>
      </w:tr>
      <w:tr w:rsidR="00803DFD" w:rsidRPr="00FA2FC5" w:rsidTr="00803DFD">
        <w:trPr>
          <w:trHeight w:val="410"/>
        </w:trPr>
        <w:tc>
          <w:tcPr>
            <w:tcW w:w="2411" w:type="dxa"/>
            <w:vAlign w:val="center"/>
          </w:tcPr>
          <w:p w:rsidR="00803DFD" w:rsidRPr="00FA2FC5" w:rsidRDefault="00803DFD" w:rsidP="00803DFD">
            <w:pPr>
              <w:pStyle w:val="StandardParagraphTable"/>
            </w:pPr>
            <w:r>
              <w:t>Non-clinical Support Service Costs</w:t>
            </w: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9" w:type="dxa"/>
            <w:vAlign w:val="center"/>
          </w:tcPr>
          <w:p w:rsidR="00803DFD" w:rsidRPr="00FA2FC5" w:rsidRDefault="00803DFD" w:rsidP="00803DFD">
            <w:pPr>
              <w:pStyle w:val="StandardParagraphTable"/>
              <w:jc w:val="center"/>
            </w:pPr>
          </w:p>
        </w:tc>
      </w:tr>
      <w:tr w:rsidR="00803DFD" w:rsidRPr="00FA2FC5" w:rsidTr="00803DFD">
        <w:trPr>
          <w:trHeight w:val="410"/>
        </w:trPr>
        <w:tc>
          <w:tcPr>
            <w:tcW w:w="2411" w:type="dxa"/>
            <w:vAlign w:val="center"/>
          </w:tcPr>
          <w:p w:rsidR="00803DFD" w:rsidRPr="00FA2FC5" w:rsidRDefault="00803DFD" w:rsidP="00803DFD">
            <w:pPr>
              <w:pStyle w:val="StandardParagraphTable"/>
            </w:pPr>
            <w:r>
              <w:t>Building Related Running Costs</w:t>
            </w: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9" w:type="dxa"/>
            <w:vAlign w:val="center"/>
          </w:tcPr>
          <w:p w:rsidR="00803DFD" w:rsidRPr="00FA2FC5" w:rsidRDefault="00803DFD" w:rsidP="00803DFD">
            <w:pPr>
              <w:pStyle w:val="StandardParagraphTable"/>
              <w:jc w:val="center"/>
            </w:pPr>
          </w:p>
        </w:tc>
      </w:tr>
      <w:tr w:rsidR="00803DFD" w:rsidRPr="00FA2FC5" w:rsidTr="00803DFD">
        <w:trPr>
          <w:trHeight w:val="410"/>
        </w:trPr>
        <w:tc>
          <w:tcPr>
            <w:tcW w:w="2411" w:type="dxa"/>
            <w:vAlign w:val="center"/>
          </w:tcPr>
          <w:p w:rsidR="00803DFD" w:rsidRPr="00FA2FC5" w:rsidRDefault="00803DFD" w:rsidP="00803DFD">
            <w:pPr>
              <w:pStyle w:val="StandardParagraphTable"/>
            </w:pPr>
            <w:r>
              <w:t>Net Income Contribution</w:t>
            </w: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9" w:type="dxa"/>
            <w:vAlign w:val="center"/>
          </w:tcPr>
          <w:p w:rsidR="00803DFD" w:rsidRPr="00FA2FC5" w:rsidRDefault="00803DFD" w:rsidP="00803DFD">
            <w:pPr>
              <w:pStyle w:val="StandardParagraphTable"/>
              <w:jc w:val="center"/>
            </w:pPr>
          </w:p>
        </w:tc>
      </w:tr>
      <w:tr w:rsidR="00803DFD" w:rsidRPr="00FA2FC5" w:rsidTr="00803DFD">
        <w:trPr>
          <w:trHeight w:val="410"/>
        </w:trPr>
        <w:tc>
          <w:tcPr>
            <w:tcW w:w="2411" w:type="dxa"/>
            <w:vAlign w:val="center"/>
          </w:tcPr>
          <w:p w:rsidR="00803DFD" w:rsidRPr="00FA2FC5" w:rsidRDefault="00803DFD" w:rsidP="00803DFD">
            <w:pPr>
              <w:pStyle w:val="StandardParagraphTable"/>
            </w:pPr>
            <w:r>
              <w:t>Revenue Costs of Embedded Accommodation</w:t>
            </w: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9" w:type="dxa"/>
            <w:vAlign w:val="center"/>
          </w:tcPr>
          <w:p w:rsidR="00803DFD" w:rsidRPr="00FA2FC5" w:rsidRDefault="00803DFD" w:rsidP="00803DFD">
            <w:pPr>
              <w:pStyle w:val="StandardParagraphTable"/>
              <w:jc w:val="center"/>
            </w:pPr>
          </w:p>
        </w:tc>
      </w:tr>
      <w:tr w:rsidR="00803DFD" w:rsidRPr="00FA2FC5" w:rsidTr="00803DFD">
        <w:trPr>
          <w:trHeight w:val="410"/>
        </w:trPr>
        <w:tc>
          <w:tcPr>
            <w:tcW w:w="2411" w:type="dxa"/>
            <w:vAlign w:val="center"/>
          </w:tcPr>
          <w:p w:rsidR="00803DFD" w:rsidRPr="00FA2FC5" w:rsidRDefault="00803DFD" w:rsidP="00803DFD">
            <w:pPr>
              <w:pStyle w:val="StandardParagraphTable"/>
            </w:pPr>
            <w:r>
              <w:t>Displacement Costs</w:t>
            </w: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9" w:type="dxa"/>
            <w:vAlign w:val="center"/>
          </w:tcPr>
          <w:p w:rsidR="00803DFD" w:rsidRPr="00FA2FC5" w:rsidRDefault="00803DFD" w:rsidP="00803DFD">
            <w:pPr>
              <w:pStyle w:val="StandardParagraphTable"/>
              <w:jc w:val="center"/>
            </w:pPr>
          </w:p>
        </w:tc>
      </w:tr>
      <w:tr w:rsidR="00803DFD" w:rsidRPr="00FA2FC5" w:rsidTr="00803DFD">
        <w:trPr>
          <w:trHeight w:val="410"/>
        </w:trPr>
        <w:tc>
          <w:tcPr>
            <w:tcW w:w="2411" w:type="dxa"/>
            <w:vAlign w:val="center"/>
          </w:tcPr>
          <w:p w:rsidR="00803DFD" w:rsidRPr="008453B8" w:rsidRDefault="00803DFD" w:rsidP="00803DFD">
            <w:pPr>
              <w:pStyle w:val="StandardParagraphTable"/>
              <w:rPr>
                <w:b/>
              </w:rPr>
            </w:pPr>
            <w:r w:rsidRPr="008453B8">
              <w:rPr>
                <w:b/>
              </w:rPr>
              <w:t>Total recurring revenue cost implications</w:t>
            </w:r>
          </w:p>
        </w:tc>
        <w:tc>
          <w:tcPr>
            <w:tcW w:w="1718" w:type="dxa"/>
            <w:vAlign w:val="center"/>
          </w:tcPr>
          <w:p w:rsidR="00803DFD" w:rsidRPr="008453B8" w:rsidRDefault="00803DFD" w:rsidP="00803DFD">
            <w:pPr>
              <w:pStyle w:val="StandardParagraphTable"/>
              <w:jc w:val="center"/>
              <w:rPr>
                <w:b/>
              </w:rPr>
            </w:pPr>
          </w:p>
        </w:tc>
        <w:tc>
          <w:tcPr>
            <w:tcW w:w="1718" w:type="dxa"/>
            <w:vAlign w:val="center"/>
          </w:tcPr>
          <w:p w:rsidR="00803DFD" w:rsidRPr="008453B8" w:rsidRDefault="00803DFD" w:rsidP="00803DFD">
            <w:pPr>
              <w:pStyle w:val="StandardParagraphTable"/>
              <w:jc w:val="center"/>
              <w:rPr>
                <w:b/>
              </w:rPr>
            </w:pPr>
          </w:p>
        </w:tc>
        <w:tc>
          <w:tcPr>
            <w:tcW w:w="1718" w:type="dxa"/>
            <w:vAlign w:val="center"/>
          </w:tcPr>
          <w:p w:rsidR="00803DFD" w:rsidRPr="008453B8" w:rsidRDefault="00803DFD" w:rsidP="00803DFD">
            <w:pPr>
              <w:pStyle w:val="StandardParagraphTable"/>
              <w:jc w:val="center"/>
              <w:rPr>
                <w:b/>
              </w:rPr>
            </w:pPr>
          </w:p>
        </w:tc>
        <w:tc>
          <w:tcPr>
            <w:tcW w:w="1719" w:type="dxa"/>
            <w:vAlign w:val="center"/>
          </w:tcPr>
          <w:p w:rsidR="00803DFD" w:rsidRPr="008453B8" w:rsidRDefault="00803DFD" w:rsidP="00803DFD">
            <w:pPr>
              <w:pStyle w:val="StandardParagraphTable"/>
              <w:jc w:val="center"/>
              <w:rPr>
                <w:b/>
              </w:rPr>
            </w:pPr>
          </w:p>
        </w:tc>
      </w:tr>
    </w:tbl>
    <w:p w:rsidR="00803DFD" w:rsidRDefault="00803DFD" w:rsidP="00803DFD">
      <w:pPr>
        <w:pStyle w:val="NoSpacing"/>
      </w:pPr>
    </w:p>
    <w:p w:rsidR="00803DFD" w:rsidRDefault="00803DFD" w:rsidP="00803DFD">
      <w:pPr>
        <w:pStyle w:val="StandardParagraph"/>
      </w:pPr>
      <w:r>
        <w:t>Assumptions and details will need to be explained for the costs and timings of a Do Nothing / Do Minimum option, plus the first main implementation option.  Variations of costs in the other options will then need to be further explained.</w:t>
      </w:r>
    </w:p>
    <w:p w:rsidR="00803DFD" w:rsidRDefault="00803DFD" w:rsidP="00803DFD">
      <w:pPr>
        <w:pStyle w:val="StandardParagraph"/>
      </w:pPr>
      <w:r>
        <w:t xml:space="preserve">The extent of this supporting information shall be commensurate with the complexity and value of the project options. </w:t>
      </w:r>
    </w:p>
    <w:p w:rsidR="00803DFD" w:rsidRDefault="00803DFD" w:rsidP="00803DFD">
      <w:pPr>
        <w:pStyle w:val="Heading2"/>
      </w:pPr>
      <w:r>
        <w:t>Non-Monetary Costs and Benefits</w:t>
      </w:r>
    </w:p>
    <w:p w:rsidR="00803DFD" w:rsidRDefault="00803DFD" w:rsidP="00803DFD">
      <w:pPr>
        <w:pStyle w:val="StandardParagraph"/>
      </w:pPr>
      <w:r>
        <w:t>The results of the non-financial benefits appraisal exercise can be presented in a similar table to the exemplar below:</w:t>
      </w:r>
    </w:p>
    <w:tbl>
      <w:tblPr>
        <w:tblW w:w="0" w:type="auto"/>
        <w:tblInd w:w="13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2380"/>
        <w:gridCol w:w="1418"/>
        <w:gridCol w:w="1293"/>
        <w:gridCol w:w="1293"/>
        <w:gridCol w:w="1293"/>
        <w:gridCol w:w="1293"/>
      </w:tblGrid>
      <w:tr w:rsidR="00803DFD" w:rsidRPr="008453B8" w:rsidTr="00803DFD">
        <w:trPr>
          <w:trHeight w:val="403"/>
        </w:trPr>
        <w:tc>
          <w:tcPr>
            <w:tcW w:w="2380" w:type="dxa"/>
            <w:vMerge w:val="restart"/>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Benefit Criteria</w:t>
            </w:r>
          </w:p>
        </w:tc>
        <w:tc>
          <w:tcPr>
            <w:tcW w:w="1418" w:type="dxa"/>
            <w:vMerge w:val="restart"/>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Weighting</w:t>
            </w:r>
          </w:p>
          <w:p w:rsidR="00803DFD" w:rsidRPr="008453B8" w:rsidRDefault="00803DFD" w:rsidP="00803DFD">
            <w:pPr>
              <w:pStyle w:val="StandardParagraphTable"/>
              <w:jc w:val="center"/>
              <w:rPr>
                <w:b/>
                <w:color w:val="FFFFFF" w:themeColor="background1"/>
              </w:rPr>
            </w:pPr>
            <w:r w:rsidRPr="008453B8">
              <w:rPr>
                <w:b/>
                <w:color w:val="FFFFFF" w:themeColor="background1"/>
              </w:rPr>
              <w:t>(%)</w:t>
            </w:r>
          </w:p>
        </w:tc>
        <w:tc>
          <w:tcPr>
            <w:tcW w:w="5172" w:type="dxa"/>
            <w:gridSpan w:val="4"/>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Weighted Score</w:t>
            </w:r>
          </w:p>
        </w:tc>
      </w:tr>
      <w:tr w:rsidR="00803DFD" w:rsidRPr="008453B8" w:rsidTr="00803DFD">
        <w:trPr>
          <w:trHeight w:val="395"/>
        </w:trPr>
        <w:tc>
          <w:tcPr>
            <w:tcW w:w="2380" w:type="dxa"/>
            <w:vMerge/>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p>
        </w:tc>
        <w:tc>
          <w:tcPr>
            <w:tcW w:w="1418" w:type="dxa"/>
            <w:vMerge/>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p>
        </w:tc>
        <w:tc>
          <w:tcPr>
            <w:tcW w:w="1293"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Option 1</w:t>
            </w:r>
          </w:p>
        </w:tc>
        <w:tc>
          <w:tcPr>
            <w:tcW w:w="1293"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Option 2</w:t>
            </w:r>
          </w:p>
        </w:tc>
        <w:tc>
          <w:tcPr>
            <w:tcW w:w="1293"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Option 3</w:t>
            </w:r>
          </w:p>
        </w:tc>
        <w:tc>
          <w:tcPr>
            <w:tcW w:w="1293"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Option 4</w:t>
            </w:r>
          </w:p>
        </w:tc>
      </w:tr>
      <w:tr w:rsidR="00803DFD" w:rsidTr="00803DFD">
        <w:trPr>
          <w:trHeight w:val="308"/>
        </w:trPr>
        <w:tc>
          <w:tcPr>
            <w:tcW w:w="2380" w:type="dxa"/>
            <w:tcBorders>
              <w:top w:val="single" w:sz="6" w:space="0" w:color="auto"/>
            </w:tcBorders>
            <w:vAlign w:val="center"/>
          </w:tcPr>
          <w:p w:rsidR="00803DFD" w:rsidRPr="00AC0ABC" w:rsidRDefault="00803DFD" w:rsidP="00803DFD">
            <w:pPr>
              <w:pStyle w:val="StandardParagraphTable"/>
              <w:rPr>
                <w:i/>
              </w:rPr>
            </w:pPr>
          </w:p>
        </w:tc>
        <w:tc>
          <w:tcPr>
            <w:tcW w:w="1418" w:type="dxa"/>
            <w:tcBorders>
              <w:top w:val="single" w:sz="6" w:space="0" w:color="auto"/>
            </w:tcBorders>
            <w:vAlign w:val="center"/>
          </w:tcPr>
          <w:p w:rsidR="00803DFD" w:rsidRPr="00AC0ABC" w:rsidRDefault="00803DFD" w:rsidP="00803DFD">
            <w:pPr>
              <w:pStyle w:val="StandardParagraphTable"/>
              <w:jc w:val="center"/>
              <w:rPr>
                <w:i/>
              </w:rPr>
            </w:pPr>
          </w:p>
        </w:tc>
        <w:tc>
          <w:tcPr>
            <w:tcW w:w="1293" w:type="dxa"/>
            <w:tcBorders>
              <w:top w:val="single" w:sz="6" w:space="0" w:color="auto"/>
            </w:tcBorders>
            <w:vAlign w:val="center"/>
          </w:tcPr>
          <w:p w:rsidR="00803DFD" w:rsidRPr="00AC0ABC" w:rsidRDefault="00803DFD" w:rsidP="00803DFD">
            <w:pPr>
              <w:pStyle w:val="StandardParagraphTable"/>
              <w:jc w:val="center"/>
              <w:rPr>
                <w:i/>
              </w:rPr>
            </w:pPr>
          </w:p>
        </w:tc>
        <w:tc>
          <w:tcPr>
            <w:tcW w:w="1293" w:type="dxa"/>
            <w:tcBorders>
              <w:top w:val="single" w:sz="6" w:space="0" w:color="auto"/>
            </w:tcBorders>
            <w:vAlign w:val="center"/>
          </w:tcPr>
          <w:p w:rsidR="00803DFD" w:rsidRPr="00AC0ABC" w:rsidRDefault="00803DFD" w:rsidP="00803DFD">
            <w:pPr>
              <w:pStyle w:val="StandardParagraphTable"/>
              <w:jc w:val="center"/>
              <w:rPr>
                <w:i/>
              </w:rPr>
            </w:pPr>
          </w:p>
        </w:tc>
        <w:tc>
          <w:tcPr>
            <w:tcW w:w="1293" w:type="dxa"/>
            <w:tcBorders>
              <w:top w:val="single" w:sz="6" w:space="0" w:color="auto"/>
            </w:tcBorders>
            <w:vAlign w:val="center"/>
          </w:tcPr>
          <w:p w:rsidR="00803DFD" w:rsidRPr="00AC0ABC" w:rsidRDefault="00803DFD" w:rsidP="00803DFD">
            <w:pPr>
              <w:pStyle w:val="StandardParagraphTable"/>
              <w:jc w:val="center"/>
              <w:rPr>
                <w:i/>
              </w:rPr>
            </w:pPr>
          </w:p>
        </w:tc>
        <w:tc>
          <w:tcPr>
            <w:tcW w:w="1293" w:type="dxa"/>
            <w:tcBorders>
              <w:top w:val="single" w:sz="6" w:space="0" w:color="auto"/>
            </w:tcBorders>
            <w:vAlign w:val="center"/>
          </w:tcPr>
          <w:p w:rsidR="00803DFD" w:rsidRPr="00AC0ABC" w:rsidRDefault="00803DFD" w:rsidP="00803DFD">
            <w:pPr>
              <w:pStyle w:val="StandardParagraphTable"/>
              <w:jc w:val="center"/>
              <w:rPr>
                <w:i/>
              </w:rPr>
            </w:pPr>
          </w:p>
        </w:tc>
      </w:tr>
      <w:tr w:rsidR="00803DFD" w:rsidTr="00803DFD">
        <w:trPr>
          <w:trHeight w:val="308"/>
        </w:trPr>
        <w:tc>
          <w:tcPr>
            <w:tcW w:w="2380" w:type="dxa"/>
            <w:vAlign w:val="center"/>
          </w:tcPr>
          <w:p w:rsidR="00803DFD" w:rsidRPr="00AC0ABC" w:rsidRDefault="00803DFD" w:rsidP="00803DFD">
            <w:pPr>
              <w:pStyle w:val="StandardParagraphTable"/>
              <w:rPr>
                <w:i/>
              </w:rPr>
            </w:pPr>
          </w:p>
        </w:tc>
        <w:tc>
          <w:tcPr>
            <w:tcW w:w="1418"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r>
      <w:tr w:rsidR="00803DFD" w:rsidTr="00803DFD">
        <w:trPr>
          <w:trHeight w:val="308"/>
        </w:trPr>
        <w:tc>
          <w:tcPr>
            <w:tcW w:w="2380" w:type="dxa"/>
            <w:vAlign w:val="center"/>
          </w:tcPr>
          <w:p w:rsidR="00803DFD" w:rsidRPr="00AC0ABC" w:rsidRDefault="00803DFD" w:rsidP="00803DFD">
            <w:pPr>
              <w:pStyle w:val="StandardParagraphTable"/>
              <w:rPr>
                <w:i/>
              </w:rPr>
            </w:pPr>
          </w:p>
        </w:tc>
        <w:tc>
          <w:tcPr>
            <w:tcW w:w="1418"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r>
      <w:tr w:rsidR="00803DFD" w:rsidTr="00803DFD">
        <w:trPr>
          <w:trHeight w:val="308"/>
        </w:trPr>
        <w:tc>
          <w:tcPr>
            <w:tcW w:w="2380" w:type="dxa"/>
            <w:vAlign w:val="center"/>
          </w:tcPr>
          <w:p w:rsidR="00803DFD" w:rsidRPr="00AC0ABC" w:rsidRDefault="00803DFD" w:rsidP="00803DFD">
            <w:pPr>
              <w:pStyle w:val="StandardParagraphTable"/>
              <w:rPr>
                <w:i/>
              </w:rPr>
            </w:pPr>
          </w:p>
        </w:tc>
        <w:tc>
          <w:tcPr>
            <w:tcW w:w="1418"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r>
      <w:tr w:rsidR="00803DFD" w:rsidTr="00803DFD">
        <w:trPr>
          <w:trHeight w:val="308"/>
        </w:trPr>
        <w:tc>
          <w:tcPr>
            <w:tcW w:w="2380" w:type="dxa"/>
            <w:vAlign w:val="center"/>
          </w:tcPr>
          <w:p w:rsidR="00803DFD" w:rsidRPr="00AC0ABC" w:rsidRDefault="00803DFD" w:rsidP="00803DFD">
            <w:pPr>
              <w:pStyle w:val="StandardParagraphTable"/>
              <w:rPr>
                <w:i/>
              </w:rPr>
            </w:pPr>
          </w:p>
        </w:tc>
        <w:tc>
          <w:tcPr>
            <w:tcW w:w="1418"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r>
      <w:tr w:rsidR="00803DFD" w:rsidTr="00803DFD">
        <w:trPr>
          <w:trHeight w:val="308"/>
        </w:trPr>
        <w:tc>
          <w:tcPr>
            <w:tcW w:w="2380" w:type="dxa"/>
            <w:vAlign w:val="center"/>
          </w:tcPr>
          <w:p w:rsidR="00803DFD" w:rsidRPr="00AC0ABC" w:rsidRDefault="00803DFD" w:rsidP="00803DFD">
            <w:pPr>
              <w:pStyle w:val="StandardParagraphTable"/>
              <w:rPr>
                <w:i/>
              </w:rPr>
            </w:pPr>
          </w:p>
        </w:tc>
        <w:tc>
          <w:tcPr>
            <w:tcW w:w="1418"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r>
      <w:tr w:rsidR="00803DFD" w:rsidTr="00803DFD">
        <w:trPr>
          <w:trHeight w:val="308"/>
        </w:trPr>
        <w:tc>
          <w:tcPr>
            <w:tcW w:w="2380" w:type="dxa"/>
            <w:vAlign w:val="center"/>
          </w:tcPr>
          <w:p w:rsidR="00803DFD" w:rsidRPr="00AC0ABC" w:rsidRDefault="00803DFD" w:rsidP="00803DFD">
            <w:pPr>
              <w:pStyle w:val="StandardParagraphTable"/>
              <w:rPr>
                <w:i/>
              </w:rPr>
            </w:pPr>
          </w:p>
        </w:tc>
        <w:tc>
          <w:tcPr>
            <w:tcW w:w="1418"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c>
          <w:tcPr>
            <w:tcW w:w="1293" w:type="dxa"/>
            <w:vAlign w:val="center"/>
          </w:tcPr>
          <w:p w:rsidR="00803DFD" w:rsidRPr="00AC0ABC" w:rsidRDefault="00803DFD" w:rsidP="00803DFD">
            <w:pPr>
              <w:pStyle w:val="StandardParagraphTable"/>
              <w:jc w:val="center"/>
              <w:rPr>
                <w:i/>
              </w:rPr>
            </w:pPr>
          </w:p>
        </w:tc>
      </w:tr>
      <w:tr w:rsidR="00803DFD" w:rsidTr="00803DFD">
        <w:trPr>
          <w:trHeight w:val="308"/>
        </w:trPr>
        <w:tc>
          <w:tcPr>
            <w:tcW w:w="3798" w:type="dxa"/>
            <w:gridSpan w:val="2"/>
          </w:tcPr>
          <w:p w:rsidR="00803DFD" w:rsidRPr="00A85BFB" w:rsidRDefault="00803DFD" w:rsidP="00803DFD">
            <w:pPr>
              <w:pStyle w:val="StandardParagraphTable"/>
            </w:pPr>
            <w:r w:rsidRPr="00A85BFB">
              <w:t>Total Weighted Score:</w:t>
            </w:r>
          </w:p>
        </w:tc>
        <w:tc>
          <w:tcPr>
            <w:tcW w:w="1293" w:type="dxa"/>
            <w:vAlign w:val="center"/>
          </w:tcPr>
          <w:p w:rsidR="00803DFD" w:rsidRPr="00AC0ABC" w:rsidRDefault="00803DFD" w:rsidP="00803DFD">
            <w:pPr>
              <w:pStyle w:val="StandardParagraphTable"/>
              <w:jc w:val="center"/>
              <w:rPr>
                <w:i/>
                <w:szCs w:val="16"/>
              </w:rPr>
            </w:pPr>
          </w:p>
        </w:tc>
        <w:tc>
          <w:tcPr>
            <w:tcW w:w="1293" w:type="dxa"/>
            <w:vAlign w:val="center"/>
          </w:tcPr>
          <w:p w:rsidR="00803DFD" w:rsidRPr="00AC0ABC" w:rsidRDefault="00803DFD" w:rsidP="00803DFD">
            <w:pPr>
              <w:pStyle w:val="StandardParagraphTable"/>
              <w:jc w:val="center"/>
              <w:rPr>
                <w:i/>
                <w:szCs w:val="16"/>
              </w:rPr>
            </w:pPr>
          </w:p>
        </w:tc>
        <w:tc>
          <w:tcPr>
            <w:tcW w:w="1293" w:type="dxa"/>
            <w:vAlign w:val="center"/>
          </w:tcPr>
          <w:p w:rsidR="00803DFD" w:rsidRPr="00AC0ABC" w:rsidRDefault="00803DFD" w:rsidP="00803DFD">
            <w:pPr>
              <w:pStyle w:val="StandardParagraphTable"/>
              <w:jc w:val="center"/>
              <w:rPr>
                <w:i/>
                <w:szCs w:val="16"/>
              </w:rPr>
            </w:pPr>
          </w:p>
        </w:tc>
        <w:tc>
          <w:tcPr>
            <w:tcW w:w="1293" w:type="dxa"/>
            <w:vAlign w:val="center"/>
          </w:tcPr>
          <w:p w:rsidR="00803DFD" w:rsidRPr="00AC0ABC" w:rsidRDefault="00803DFD" w:rsidP="00803DFD">
            <w:pPr>
              <w:pStyle w:val="StandardParagraphTable"/>
              <w:jc w:val="center"/>
              <w:rPr>
                <w:i/>
                <w:szCs w:val="16"/>
              </w:rPr>
            </w:pPr>
          </w:p>
        </w:tc>
      </w:tr>
      <w:tr w:rsidR="00803DFD" w:rsidTr="00803DFD">
        <w:trPr>
          <w:trHeight w:val="308"/>
        </w:trPr>
        <w:tc>
          <w:tcPr>
            <w:tcW w:w="3798" w:type="dxa"/>
            <w:gridSpan w:val="2"/>
          </w:tcPr>
          <w:p w:rsidR="00803DFD" w:rsidRPr="00A85BFB" w:rsidRDefault="00803DFD" w:rsidP="00803DFD">
            <w:pPr>
              <w:pStyle w:val="StandardParagraphTable"/>
            </w:pPr>
            <w:r w:rsidRPr="00A85BFB">
              <w:t>Rank:</w:t>
            </w:r>
          </w:p>
        </w:tc>
        <w:tc>
          <w:tcPr>
            <w:tcW w:w="1293" w:type="dxa"/>
            <w:vAlign w:val="center"/>
          </w:tcPr>
          <w:p w:rsidR="00803DFD" w:rsidRPr="00AC0ABC" w:rsidRDefault="00803DFD" w:rsidP="00803DFD">
            <w:pPr>
              <w:pStyle w:val="StandardParagraphTable"/>
              <w:jc w:val="center"/>
              <w:rPr>
                <w:i/>
                <w:szCs w:val="16"/>
              </w:rPr>
            </w:pPr>
          </w:p>
        </w:tc>
        <w:tc>
          <w:tcPr>
            <w:tcW w:w="1293" w:type="dxa"/>
            <w:vAlign w:val="center"/>
          </w:tcPr>
          <w:p w:rsidR="00803DFD" w:rsidRPr="00AC0ABC" w:rsidRDefault="00803DFD" w:rsidP="00803DFD">
            <w:pPr>
              <w:pStyle w:val="StandardParagraphTable"/>
              <w:jc w:val="center"/>
              <w:rPr>
                <w:i/>
                <w:szCs w:val="16"/>
              </w:rPr>
            </w:pPr>
          </w:p>
        </w:tc>
        <w:tc>
          <w:tcPr>
            <w:tcW w:w="1293" w:type="dxa"/>
            <w:vAlign w:val="center"/>
          </w:tcPr>
          <w:p w:rsidR="00803DFD" w:rsidRPr="00AC0ABC" w:rsidRDefault="00803DFD" w:rsidP="00803DFD">
            <w:pPr>
              <w:pStyle w:val="StandardParagraphTable"/>
              <w:jc w:val="center"/>
              <w:rPr>
                <w:i/>
                <w:szCs w:val="16"/>
              </w:rPr>
            </w:pPr>
          </w:p>
        </w:tc>
        <w:tc>
          <w:tcPr>
            <w:tcW w:w="1293" w:type="dxa"/>
            <w:vAlign w:val="center"/>
          </w:tcPr>
          <w:p w:rsidR="00803DFD" w:rsidRPr="00AC0ABC" w:rsidRDefault="00803DFD" w:rsidP="00803DFD">
            <w:pPr>
              <w:pStyle w:val="StandardParagraphTable"/>
              <w:jc w:val="center"/>
              <w:rPr>
                <w:i/>
                <w:szCs w:val="16"/>
              </w:rPr>
            </w:pPr>
          </w:p>
        </w:tc>
      </w:tr>
    </w:tbl>
    <w:p w:rsidR="00803DFD" w:rsidRDefault="00803DFD" w:rsidP="00803DFD">
      <w:pPr>
        <w:pStyle w:val="NoSpacing"/>
      </w:pPr>
    </w:p>
    <w:p w:rsidR="00803DFD" w:rsidRDefault="00803DFD" w:rsidP="00803DFD">
      <w:pPr>
        <w:pStyle w:val="StandardParagraph"/>
      </w:pPr>
      <w:r>
        <w:t>Defi</w:t>
      </w:r>
      <w:r w:rsidR="0074472F">
        <w:t xml:space="preserve">nitions of the benefit criteria and how they were developed </w:t>
      </w:r>
      <w:r>
        <w:t>needs to be explained; along with key considerations that influenced the weighted scores.</w:t>
      </w:r>
    </w:p>
    <w:p w:rsidR="00803DFD" w:rsidRDefault="00803DFD" w:rsidP="00803DFD">
      <w:pPr>
        <w:pStyle w:val="Heading2"/>
      </w:pPr>
      <w:r>
        <w:lastRenderedPageBreak/>
        <w:t>Non-financial Risk Appraisal</w:t>
      </w:r>
    </w:p>
    <w:p w:rsidR="00803DFD" w:rsidRPr="00CE4C4E" w:rsidRDefault="00803DFD" w:rsidP="00803DFD">
      <w:pPr>
        <w:pStyle w:val="StandardParagraph"/>
      </w:pPr>
      <w:r w:rsidRPr="00CE4C4E">
        <w:t>In relation to non-financial risks only</w:t>
      </w:r>
      <w:r>
        <w:t>,</w:t>
      </w:r>
      <w:r w:rsidRPr="00CE4C4E">
        <w:t xml:space="preserve"> (financial risks</w:t>
      </w:r>
      <w:r>
        <w:t xml:space="preserve"> being included in the economic</w:t>
      </w:r>
      <w:r w:rsidRPr="00CE4C4E">
        <w:t xml:space="preserve"> appraisal costs), a risk appraisal </w:t>
      </w:r>
      <w:r>
        <w:t xml:space="preserve">of each option shall </w:t>
      </w:r>
      <w:r w:rsidRPr="00CE4C4E">
        <w:t>be undertaken as follows:</w:t>
      </w:r>
    </w:p>
    <w:p w:rsidR="00803DFD" w:rsidRPr="00CE4C4E" w:rsidRDefault="00803DFD" w:rsidP="00803DFD">
      <w:pPr>
        <w:pStyle w:val="StandardBullet0"/>
      </w:pPr>
      <w:r w:rsidRPr="00CE4C4E">
        <w:t xml:space="preserve">Identify all </w:t>
      </w:r>
      <w:r>
        <w:t xml:space="preserve">main </w:t>
      </w:r>
      <w:r w:rsidRPr="00CE4C4E">
        <w:t>organisational, service, project and external risks associated with each option</w:t>
      </w:r>
      <w:r>
        <w:t>.</w:t>
      </w:r>
    </w:p>
    <w:p w:rsidR="00803DFD" w:rsidRPr="00CE4C4E" w:rsidRDefault="00803DFD" w:rsidP="00803DFD">
      <w:pPr>
        <w:pStyle w:val="StandardBullet0"/>
      </w:pPr>
      <w:r w:rsidRPr="00CE4C4E">
        <w:t>Assess the impact and probability for each option</w:t>
      </w:r>
      <w:r>
        <w:t>.</w:t>
      </w:r>
    </w:p>
    <w:p w:rsidR="00803DFD" w:rsidRPr="00CE4C4E" w:rsidRDefault="00803DFD" w:rsidP="00803DFD">
      <w:pPr>
        <w:pStyle w:val="StandardBullet0"/>
      </w:pPr>
      <w:r w:rsidRPr="00CE4C4E">
        <w:t>Calculate a risk score</w:t>
      </w:r>
      <w:r>
        <w:t>.</w:t>
      </w:r>
    </w:p>
    <w:p w:rsidR="00803DFD" w:rsidRPr="00CE4C4E" w:rsidRDefault="00803DFD" w:rsidP="00803DFD">
      <w:pPr>
        <w:pStyle w:val="StandardParagraph"/>
      </w:pPr>
      <w:r w:rsidRPr="00CE4C4E">
        <w:t>The results can then be presented in a similar fashion to the exemplar table below:</w:t>
      </w:r>
    </w:p>
    <w:tbl>
      <w:tblPr>
        <w:tblW w:w="0" w:type="auto"/>
        <w:tblInd w:w="13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947"/>
        <w:gridCol w:w="851"/>
        <w:gridCol w:w="646"/>
        <w:gridCol w:w="661"/>
        <w:gridCol w:w="646"/>
        <w:gridCol w:w="661"/>
        <w:gridCol w:w="646"/>
        <w:gridCol w:w="661"/>
        <w:gridCol w:w="646"/>
        <w:gridCol w:w="661"/>
      </w:tblGrid>
      <w:tr w:rsidR="00803DFD" w:rsidRPr="00151A4E" w:rsidTr="00803DFD">
        <w:trPr>
          <w:trHeight w:val="403"/>
        </w:trPr>
        <w:tc>
          <w:tcPr>
            <w:tcW w:w="2947" w:type="dxa"/>
            <w:vMerge w:val="restart"/>
            <w:shd w:val="clear" w:color="auto" w:fill="31849B" w:themeFill="accent5" w:themeFillShade="BF"/>
            <w:vAlign w:val="center"/>
          </w:tcPr>
          <w:p w:rsidR="00803DFD" w:rsidRPr="00151A4E" w:rsidRDefault="00803DFD" w:rsidP="00803DFD">
            <w:pPr>
              <w:pStyle w:val="StandardParagraphTable"/>
              <w:jc w:val="center"/>
              <w:rPr>
                <w:b/>
                <w:color w:val="FFFFFF" w:themeColor="background1"/>
              </w:rPr>
            </w:pPr>
            <w:r w:rsidRPr="00151A4E">
              <w:rPr>
                <w:b/>
                <w:color w:val="FFFFFF" w:themeColor="background1"/>
              </w:rPr>
              <w:t>Risk</w:t>
            </w:r>
          </w:p>
        </w:tc>
        <w:tc>
          <w:tcPr>
            <w:tcW w:w="851" w:type="dxa"/>
            <w:vMerge w:val="restart"/>
            <w:shd w:val="clear" w:color="auto" w:fill="31849B" w:themeFill="accent5" w:themeFillShade="BF"/>
            <w:vAlign w:val="center"/>
          </w:tcPr>
          <w:p w:rsidR="00803DFD" w:rsidRPr="00151A4E" w:rsidRDefault="00803DFD" w:rsidP="00803DFD">
            <w:pPr>
              <w:pStyle w:val="StandardParagraphTable"/>
              <w:jc w:val="center"/>
              <w:rPr>
                <w:b/>
                <w:color w:val="FFFFFF" w:themeColor="background1"/>
              </w:rPr>
            </w:pPr>
            <w:r w:rsidRPr="00151A4E">
              <w:rPr>
                <w:b/>
                <w:color w:val="FFFFFF" w:themeColor="background1"/>
              </w:rPr>
              <w:t>Impact Score</w:t>
            </w:r>
          </w:p>
        </w:tc>
        <w:tc>
          <w:tcPr>
            <w:tcW w:w="5228" w:type="dxa"/>
            <w:gridSpan w:val="8"/>
            <w:shd w:val="clear" w:color="auto" w:fill="31849B" w:themeFill="accent5" w:themeFillShade="BF"/>
            <w:vAlign w:val="center"/>
          </w:tcPr>
          <w:p w:rsidR="00803DFD" w:rsidRPr="00151A4E" w:rsidRDefault="00803DFD" w:rsidP="00803DFD">
            <w:pPr>
              <w:pStyle w:val="StandardParagraphTable"/>
              <w:jc w:val="center"/>
              <w:rPr>
                <w:b/>
                <w:color w:val="FFFFFF" w:themeColor="background1"/>
              </w:rPr>
            </w:pPr>
            <w:r w:rsidRPr="00151A4E">
              <w:rPr>
                <w:b/>
                <w:color w:val="FFFFFF" w:themeColor="background1"/>
              </w:rPr>
              <w:t>Risk Score (Impact x Probability)</w:t>
            </w:r>
          </w:p>
        </w:tc>
      </w:tr>
      <w:tr w:rsidR="00803DFD" w:rsidRPr="00151A4E" w:rsidTr="00803DFD">
        <w:trPr>
          <w:trHeight w:val="660"/>
        </w:trPr>
        <w:tc>
          <w:tcPr>
            <w:tcW w:w="2947" w:type="dxa"/>
            <w:vMerge/>
            <w:shd w:val="clear" w:color="auto" w:fill="31849B" w:themeFill="accent5" w:themeFillShade="BF"/>
            <w:vAlign w:val="center"/>
          </w:tcPr>
          <w:p w:rsidR="00803DFD" w:rsidRPr="00151A4E" w:rsidRDefault="00803DFD" w:rsidP="00803DFD">
            <w:pPr>
              <w:pStyle w:val="StandardParagraphTable"/>
              <w:jc w:val="center"/>
              <w:rPr>
                <w:b/>
                <w:color w:val="FFFFFF" w:themeColor="background1"/>
              </w:rPr>
            </w:pPr>
          </w:p>
        </w:tc>
        <w:tc>
          <w:tcPr>
            <w:tcW w:w="851" w:type="dxa"/>
            <w:vMerge/>
            <w:shd w:val="clear" w:color="auto" w:fill="31849B" w:themeFill="accent5" w:themeFillShade="BF"/>
            <w:vAlign w:val="center"/>
          </w:tcPr>
          <w:p w:rsidR="00803DFD" w:rsidRPr="00151A4E" w:rsidRDefault="00803DFD" w:rsidP="00803DFD">
            <w:pPr>
              <w:pStyle w:val="StandardParagraphTable"/>
              <w:jc w:val="center"/>
              <w:rPr>
                <w:b/>
                <w:color w:val="FFFFFF" w:themeColor="background1"/>
              </w:rPr>
            </w:pPr>
          </w:p>
        </w:tc>
        <w:tc>
          <w:tcPr>
            <w:tcW w:w="1307" w:type="dxa"/>
            <w:gridSpan w:val="2"/>
            <w:shd w:val="clear" w:color="auto" w:fill="31849B" w:themeFill="accent5" w:themeFillShade="BF"/>
            <w:vAlign w:val="center"/>
          </w:tcPr>
          <w:p w:rsidR="00803DFD" w:rsidRPr="00151A4E" w:rsidRDefault="00803DFD" w:rsidP="00803DFD">
            <w:pPr>
              <w:pStyle w:val="StandardParagraphTable"/>
              <w:jc w:val="center"/>
              <w:rPr>
                <w:b/>
                <w:color w:val="FFFFFF" w:themeColor="background1"/>
              </w:rPr>
            </w:pPr>
            <w:r w:rsidRPr="00151A4E">
              <w:rPr>
                <w:b/>
                <w:color w:val="FFFFFF" w:themeColor="background1"/>
              </w:rPr>
              <w:t>Option 1</w:t>
            </w:r>
          </w:p>
        </w:tc>
        <w:tc>
          <w:tcPr>
            <w:tcW w:w="1307" w:type="dxa"/>
            <w:gridSpan w:val="2"/>
            <w:shd w:val="clear" w:color="auto" w:fill="31849B" w:themeFill="accent5" w:themeFillShade="BF"/>
            <w:vAlign w:val="center"/>
          </w:tcPr>
          <w:p w:rsidR="00803DFD" w:rsidRPr="00151A4E" w:rsidRDefault="00803DFD" w:rsidP="00803DFD">
            <w:pPr>
              <w:pStyle w:val="StandardParagraphTable"/>
              <w:jc w:val="center"/>
              <w:rPr>
                <w:b/>
                <w:color w:val="FFFFFF" w:themeColor="background1"/>
              </w:rPr>
            </w:pPr>
            <w:r w:rsidRPr="00151A4E">
              <w:rPr>
                <w:b/>
                <w:color w:val="FFFFFF" w:themeColor="background1"/>
              </w:rPr>
              <w:t>Option 2</w:t>
            </w:r>
          </w:p>
        </w:tc>
        <w:tc>
          <w:tcPr>
            <w:tcW w:w="1307" w:type="dxa"/>
            <w:gridSpan w:val="2"/>
            <w:shd w:val="clear" w:color="auto" w:fill="31849B" w:themeFill="accent5" w:themeFillShade="BF"/>
            <w:vAlign w:val="center"/>
          </w:tcPr>
          <w:p w:rsidR="00803DFD" w:rsidRPr="00151A4E" w:rsidRDefault="00803DFD" w:rsidP="00803DFD">
            <w:pPr>
              <w:pStyle w:val="StandardParagraphTable"/>
              <w:jc w:val="center"/>
              <w:rPr>
                <w:b/>
                <w:color w:val="FFFFFF" w:themeColor="background1"/>
              </w:rPr>
            </w:pPr>
            <w:r w:rsidRPr="00151A4E">
              <w:rPr>
                <w:b/>
                <w:color w:val="FFFFFF" w:themeColor="background1"/>
              </w:rPr>
              <w:t>Option 3</w:t>
            </w:r>
          </w:p>
        </w:tc>
        <w:tc>
          <w:tcPr>
            <w:tcW w:w="1307" w:type="dxa"/>
            <w:gridSpan w:val="2"/>
            <w:shd w:val="clear" w:color="auto" w:fill="31849B" w:themeFill="accent5" w:themeFillShade="BF"/>
            <w:vAlign w:val="center"/>
          </w:tcPr>
          <w:p w:rsidR="00803DFD" w:rsidRPr="00151A4E" w:rsidRDefault="00803DFD" w:rsidP="00803DFD">
            <w:pPr>
              <w:pStyle w:val="StandardParagraphTable"/>
              <w:jc w:val="center"/>
              <w:rPr>
                <w:b/>
                <w:color w:val="FFFFFF" w:themeColor="background1"/>
              </w:rPr>
            </w:pPr>
            <w:r w:rsidRPr="00151A4E">
              <w:rPr>
                <w:b/>
                <w:color w:val="FFFFFF" w:themeColor="background1"/>
              </w:rPr>
              <w:t>Option 4</w:t>
            </w:r>
          </w:p>
        </w:tc>
      </w:tr>
      <w:tr w:rsidR="00803DFD" w:rsidRPr="00151A4E" w:rsidTr="00803DFD">
        <w:trPr>
          <w:trHeight w:val="180"/>
        </w:trPr>
        <w:tc>
          <w:tcPr>
            <w:tcW w:w="2947" w:type="dxa"/>
            <w:vMerge/>
            <w:shd w:val="clear" w:color="auto" w:fill="31849B" w:themeFill="accent5" w:themeFillShade="BF"/>
            <w:vAlign w:val="center"/>
          </w:tcPr>
          <w:p w:rsidR="00803DFD" w:rsidRPr="00151A4E" w:rsidRDefault="00803DFD" w:rsidP="00803DFD">
            <w:pPr>
              <w:pStyle w:val="StandardParagraphTable"/>
              <w:jc w:val="center"/>
              <w:rPr>
                <w:b/>
                <w:color w:val="FFFFFF" w:themeColor="background1"/>
              </w:rPr>
            </w:pPr>
          </w:p>
        </w:tc>
        <w:tc>
          <w:tcPr>
            <w:tcW w:w="851" w:type="dxa"/>
            <w:vMerge/>
            <w:shd w:val="clear" w:color="auto" w:fill="31849B" w:themeFill="accent5" w:themeFillShade="BF"/>
            <w:vAlign w:val="center"/>
          </w:tcPr>
          <w:p w:rsidR="00803DFD" w:rsidRPr="00151A4E" w:rsidRDefault="00803DFD" w:rsidP="00803DFD">
            <w:pPr>
              <w:pStyle w:val="StandardParagraphTable"/>
              <w:jc w:val="center"/>
              <w:rPr>
                <w:b/>
                <w:color w:val="FFFFFF" w:themeColor="background1"/>
              </w:rPr>
            </w:pPr>
          </w:p>
        </w:tc>
        <w:tc>
          <w:tcPr>
            <w:tcW w:w="646" w:type="dxa"/>
            <w:shd w:val="clear" w:color="auto" w:fill="31849B" w:themeFill="accent5" w:themeFillShade="BF"/>
            <w:vAlign w:val="center"/>
          </w:tcPr>
          <w:p w:rsidR="00803DFD" w:rsidRPr="00151A4E" w:rsidRDefault="00803DFD" w:rsidP="00803DFD">
            <w:pPr>
              <w:pStyle w:val="StandardParagraphTable"/>
              <w:jc w:val="center"/>
              <w:rPr>
                <w:b/>
                <w:color w:val="FFFFFF" w:themeColor="background1"/>
                <w:sz w:val="16"/>
                <w:szCs w:val="16"/>
              </w:rPr>
            </w:pPr>
            <w:proofErr w:type="spellStart"/>
            <w:r w:rsidRPr="00151A4E">
              <w:rPr>
                <w:b/>
                <w:color w:val="FFFFFF" w:themeColor="background1"/>
                <w:sz w:val="16"/>
                <w:szCs w:val="16"/>
              </w:rPr>
              <w:t>Prob</w:t>
            </w:r>
            <w:proofErr w:type="spellEnd"/>
          </w:p>
        </w:tc>
        <w:tc>
          <w:tcPr>
            <w:tcW w:w="661" w:type="dxa"/>
            <w:shd w:val="clear" w:color="auto" w:fill="31849B" w:themeFill="accent5" w:themeFillShade="BF"/>
            <w:vAlign w:val="center"/>
          </w:tcPr>
          <w:p w:rsidR="00803DFD" w:rsidRPr="00151A4E" w:rsidRDefault="00803DFD" w:rsidP="00803DFD">
            <w:pPr>
              <w:pStyle w:val="StandardParagraphTable"/>
              <w:jc w:val="center"/>
              <w:rPr>
                <w:b/>
                <w:color w:val="FFFFFF" w:themeColor="background1"/>
                <w:sz w:val="16"/>
                <w:szCs w:val="16"/>
              </w:rPr>
            </w:pPr>
            <w:r w:rsidRPr="00151A4E">
              <w:rPr>
                <w:b/>
                <w:color w:val="FFFFFF" w:themeColor="background1"/>
                <w:sz w:val="16"/>
                <w:szCs w:val="16"/>
              </w:rPr>
              <w:t>Score</w:t>
            </w:r>
          </w:p>
        </w:tc>
        <w:tc>
          <w:tcPr>
            <w:tcW w:w="646" w:type="dxa"/>
            <w:shd w:val="clear" w:color="auto" w:fill="31849B" w:themeFill="accent5" w:themeFillShade="BF"/>
            <w:vAlign w:val="center"/>
          </w:tcPr>
          <w:p w:rsidR="00803DFD" w:rsidRPr="00151A4E" w:rsidRDefault="00803DFD" w:rsidP="00803DFD">
            <w:pPr>
              <w:pStyle w:val="StandardParagraphTable"/>
              <w:jc w:val="center"/>
              <w:rPr>
                <w:b/>
                <w:color w:val="FFFFFF" w:themeColor="background1"/>
                <w:sz w:val="16"/>
                <w:szCs w:val="16"/>
              </w:rPr>
            </w:pPr>
            <w:proofErr w:type="spellStart"/>
            <w:r w:rsidRPr="00151A4E">
              <w:rPr>
                <w:b/>
                <w:color w:val="FFFFFF" w:themeColor="background1"/>
                <w:sz w:val="16"/>
                <w:szCs w:val="16"/>
              </w:rPr>
              <w:t>Prob</w:t>
            </w:r>
            <w:proofErr w:type="spellEnd"/>
          </w:p>
        </w:tc>
        <w:tc>
          <w:tcPr>
            <w:tcW w:w="661" w:type="dxa"/>
            <w:shd w:val="clear" w:color="auto" w:fill="31849B" w:themeFill="accent5" w:themeFillShade="BF"/>
            <w:vAlign w:val="center"/>
          </w:tcPr>
          <w:p w:rsidR="00803DFD" w:rsidRPr="00151A4E" w:rsidRDefault="00803DFD" w:rsidP="00803DFD">
            <w:pPr>
              <w:pStyle w:val="StandardParagraphTable"/>
              <w:jc w:val="center"/>
              <w:rPr>
                <w:b/>
                <w:color w:val="FFFFFF" w:themeColor="background1"/>
                <w:sz w:val="16"/>
                <w:szCs w:val="16"/>
              </w:rPr>
            </w:pPr>
            <w:r w:rsidRPr="00151A4E">
              <w:rPr>
                <w:b/>
                <w:color w:val="FFFFFF" w:themeColor="background1"/>
                <w:sz w:val="16"/>
                <w:szCs w:val="16"/>
              </w:rPr>
              <w:t>Score</w:t>
            </w:r>
          </w:p>
        </w:tc>
        <w:tc>
          <w:tcPr>
            <w:tcW w:w="646" w:type="dxa"/>
            <w:shd w:val="clear" w:color="auto" w:fill="31849B" w:themeFill="accent5" w:themeFillShade="BF"/>
            <w:vAlign w:val="center"/>
          </w:tcPr>
          <w:p w:rsidR="00803DFD" w:rsidRPr="00151A4E" w:rsidRDefault="00803DFD" w:rsidP="00803DFD">
            <w:pPr>
              <w:pStyle w:val="StandardParagraphTable"/>
              <w:jc w:val="center"/>
              <w:rPr>
                <w:b/>
                <w:color w:val="FFFFFF" w:themeColor="background1"/>
                <w:sz w:val="16"/>
                <w:szCs w:val="16"/>
              </w:rPr>
            </w:pPr>
            <w:proofErr w:type="spellStart"/>
            <w:r w:rsidRPr="00151A4E">
              <w:rPr>
                <w:b/>
                <w:color w:val="FFFFFF" w:themeColor="background1"/>
                <w:sz w:val="16"/>
                <w:szCs w:val="16"/>
              </w:rPr>
              <w:t>Prob</w:t>
            </w:r>
            <w:proofErr w:type="spellEnd"/>
          </w:p>
        </w:tc>
        <w:tc>
          <w:tcPr>
            <w:tcW w:w="661" w:type="dxa"/>
            <w:shd w:val="clear" w:color="auto" w:fill="31849B" w:themeFill="accent5" w:themeFillShade="BF"/>
            <w:vAlign w:val="center"/>
          </w:tcPr>
          <w:p w:rsidR="00803DFD" w:rsidRPr="00151A4E" w:rsidRDefault="00803DFD" w:rsidP="00803DFD">
            <w:pPr>
              <w:pStyle w:val="StandardParagraphTable"/>
              <w:jc w:val="center"/>
              <w:rPr>
                <w:b/>
                <w:color w:val="FFFFFF" w:themeColor="background1"/>
                <w:sz w:val="16"/>
                <w:szCs w:val="16"/>
              </w:rPr>
            </w:pPr>
            <w:r w:rsidRPr="00151A4E">
              <w:rPr>
                <w:b/>
                <w:color w:val="FFFFFF" w:themeColor="background1"/>
                <w:sz w:val="16"/>
                <w:szCs w:val="16"/>
              </w:rPr>
              <w:t>Score</w:t>
            </w:r>
          </w:p>
        </w:tc>
        <w:tc>
          <w:tcPr>
            <w:tcW w:w="646" w:type="dxa"/>
            <w:shd w:val="clear" w:color="auto" w:fill="31849B" w:themeFill="accent5" w:themeFillShade="BF"/>
            <w:vAlign w:val="center"/>
          </w:tcPr>
          <w:p w:rsidR="00803DFD" w:rsidRPr="00151A4E" w:rsidRDefault="00803DFD" w:rsidP="00803DFD">
            <w:pPr>
              <w:pStyle w:val="StandardParagraphTable"/>
              <w:jc w:val="center"/>
              <w:rPr>
                <w:b/>
                <w:color w:val="FFFFFF" w:themeColor="background1"/>
                <w:sz w:val="16"/>
                <w:szCs w:val="16"/>
              </w:rPr>
            </w:pPr>
            <w:proofErr w:type="spellStart"/>
            <w:r w:rsidRPr="00151A4E">
              <w:rPr>
                <w:b/>
                <w:color w:val="FFFFFF" w:themeColor="background1"/>
                <w:sz w:val="16"/>
                <w:szCs w:val="16"/>
              </w:rPr>
              <w:t>Prob</w:t>
            </w:r>
            <w:proofErr w:type="spellEnd"/>
          </w:p>
        </w:tc>
        <w:tc>
          <w:tcPr>
            <w:tcW w:w="661" w:type="dxa"/>
            <w:shd w:val="clear" w:color="auto" w:fill="31849B" w:themeFill="accent5" w:themeFillShade="BF"/>
            <w:vAlign w:val="center"/>
          </w:tcPr>
          <w:p w:rsidR="00803DFD" w:rsidRPr="00151A4E" w:rsidRDefault="00803DFD" w:rsidP="00803DFD">
            <w:pPr>
              <w:pStyle w:val="StandardParagraphTable"/>
              <w:jc w:val="center"/>
              <w:rPr>
                <w:b/>
                <w:color w:val="FFFFFF" w:themeColor="background1"/>
                <w:sz w:val="16"/>
                <w:szCs w:val="16"/>
              </w:rPr>
            </w:pPr>
            <w:r w:rsidRPr="00151A4E">
              <w:rPr>
                <w:b/>
                <w:color w:val="FFFFFF" w:themeColor="background1"/>
                <w:sz w:val="16"/>
                <w:szCs w:val="16"/>
              </w:rPr>
              <w:t>Score</w:t>
            </w:r>
          </w:p>
        </w:tc>
      </w:tr>
      <w:tr w:rsidR="00803DFD" w:rsidTr="00803DFD">
        <w:trPr>
          <w:trHeight w:val="476"/>
        </w:trPr>
        <w:tc>
          <w:tcPr>
            <w:tcW w:w="2947" w:type="dxa"/>
          </w:tcPr>
          <w:p w:rsidR="00803DFD" w:rsidRPr="00AC0ABC" w:rsidRDefault="00803DFD" w:rsidP="00803DFD">
            <w:pPr>
              <w:pStyle w:val="StandardParagraphTable"/>
              <w:rPr>
                <w:i/>
              </w:rPr>
            </w:pPr>
          </w:p>
        </w:tc>
        <w:tc>
          <w:tcPr>
            <w:tcW w:w="85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r>
      <w:tr w:rsidR="00803DFD" w:rsidTr="00803DFD">
        <w:trPr>
          <w:trHeight w:val="476"/>
        </w:trPr>
        <w:tc>
          <w:tcPr>
            <w:tcW w:w="2947" w:type="dxa"/>
          </w:tcPr>
          <w:p w:rsidR="00803DFD" w:rsidRPr="00AC0ABC" w:rsidRDefault="00803DFD" w:rsidP="00803DFD">
            <w:pPr>
              <w:pStyle w:val="StandardParagraphTable"/>
              <w:rPr>
                <w:i/>
              </w:rPr>
            </w:pPr>
          </w:p>
        </w:tc>
        <w:tc>
          <w:tcPr>
            <w:tcW w:w="85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r>
      <w:tr w:rsidR="00803DFD" w:rsidTr="00803DFD">
        <w:trPr>
          <w:trHeight w:val="476"/>
        </w:trPr>
        <w:tc>
          <w:tcPr>
            <w:tcW w:w="2947" w:type="dxa"/>
          </w:tcPr>
          <w:p w:rsidR="00803DFD" w:rsidRPr="00AC0ABC" w:rsidRDefault="00803DFD" w:rsidP="00803DFD">
            <w:pPr>
              <w:pStyle w:val="StandardParagraphTable"/>
              <w:rPr>
                <w:i/>
              </w:rPr>
            </w:pPr>
          </w:p>
        </w:tc>
        <w:tc>
          <w:tcPr>
            <w:tcW w:w="85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r>
      <w:tr w:rsidR="00803DFD" w:rsidTr="00803DFD">
        <w:trPr>
          <w:trHeight w:val="476"/>
        </w:trPr>
        <w:tc>
          <w:tcPr>
            <w:tcW w:w="2947" w:type="dxa"/>
          </w:tcPr>
          <w:p w:rsidR="00803DFD" w:rsidRPr="00AC0ABC" w:rsidRDefault="00803DFD" w:rsidP="00803DFD">
            <w:pPr>
              <w:pStyle w:val="StandardParagraphTable"/>
              <w:rPr>
                <w:i/>
              </w:rPr>
            </w:pPr>
          </w:p>
        </w:tc>
        <w:tc>
          <w:tcPr>
            <w:tcW w:w="85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r>
      <w:tr w:rsidR="00803DFD" w:rsidTr="00803DFD">
        <w:trPr>
          <w:trHeight w:val="476"/>
        </w:trPr>
        <w:tc>
          <w:tcPr>
            <w:tcW w:w="2947" w:type="dxa"/>
          </w:tcPr>
          <w:p w:rsidR="00803DFD" w:rsidRPr="00AC0ABC" w:rsidRDefault="00803DFD" w:rsidP="00803DFD">
            <w:pPr>
              <w:pStyle w:val="StandardParagraphTable"/>
              <w:rPr>
                <w:i/>
              </w:rPr>
            </w:pPr>
          </w:p>
        </w:tc>
        <w:tc>
          <w:tcPr>
            <w:tcW w:w="85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r>
      <w:tr w:rsidR="00803DFD" w:rsidTr="00803DFD">
        <w:trPr>
          <w:trHeight w:val="476"/>
        </w:trPr>
        <w:tc>
          <w:tcPr>
            <w:tcW w:w="2947" w:type="dxa"/>
          </w:tcPr>
          <w:p w:rsidR="00803DFD" w:rsidRPr="00AC0ABC" w:rsidRDefault="00803DFD" w:rsidP="00803DFD">
            <w:pPr>
              <w:pStyle w:val="StandardParagraphTable"/>
              <w:rPr>
                <w:i/>
              </w:rPr>
            </w:pPr>
          </w:p>
        </w:tc>
        <w:tc>
          <w:tcPr>
            <w:tcW w:w="85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r>
      <w:tr w:rsidR="00803DFD" w:rsidTr="00803DFD">
        <w:trPr>
          <w:trHeight w:val="476"/>
        </w:trPr>
        <w:tc>
          <w:tcPr>
            <w:tcW w:w="2947" w:type="dxa"/>
          </w:tcPr>
          <w:p w:rsidR="00803DFD" w:rsidRPr="00AC0ABC" w:rsidRDefault="00803DFD" w:rsidP="00803DFD">
            <w:pPr>
              <w:pStyle w:val="StandardParagraphTable"/>
              <w:rPr>
                <w:i/>
              </w:rPr>
            </w:pPr>
          </w:p>
        </w:tc>
        <w:tc>
          <w:tcPr>
            <w:tcW w:w="85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c>
          <w:tcPr>
            <w:tcW w:w="646" w:type="dxa"/>
            <w:vAlign w:val="center"/>
          </w:tcPr>
          <w:p w:rsidR="00803DFD" w:rsidRPr="00AC0ABC" w:rsidRDefault="00803DFD" w:rsidP="00803DFD">
            <w:pPr>
              <w:pStyle w:val="StandardParagraphTable"/>
              <w:jc w:val="center"/>
              <w:rPr>
                <w:i/>
              </w:rPr>
            </w:pPr>
          </w:p>
        </w:tc>
        <w:tc>
          <w:tcPr>
            <w:tcW w:w="661" w:type="dxa"/>
            <w:vAlign w:val="center"/>
          </w:tcPr>
          <w:p w:rsidR="00803DFD" w:rsidRPr="00AC0ABC" w:rsidRDefault="00803DFD" w:rsidP="00803DFD">
            <w:pPr>
              <w:pStyle w:val="StandardParagraphTable"/>
              <w:jc w:val="center"/>
              <w:rPr>
                <w:i/>
              </w:rPr>
            </w:pPr>
          </w:p>
        </w:tc>
      </w:tr>
      <w:tr w:rsidR="00803DFD" w:rsidTr="00803DFD">
        <w:trPr>
          <w:trHeight w:val="308"/>
        </w:trPr>
        <w:tc>
          <w:tcPr>
            <w:tcW w:w="3798" w:type="dxa"/>
            <w:gridSpan w:val="2"/>
          </w:tcPr>
          <w:p w:rsidR="00803DFD" w:rsidRPr="00A85BFB" w:rsidRDefault="00803DFD" w:rsidP="00803DFD">
            <w:pPr>
              <w:pStyle w:val="StandardParagraphTable"/>
            </w:pPr>
            <w:r w:rsidRPr="00A85BFB">
              <w:t xml:space="preserve">Total </w:t>
            </w:r>
            <w:r>
              <w:t>Risk</w:t>
            </w:r>
            <w:r w:rsidRPr="00A85BFB">
              <w:t xml:space="preserve"> Score:</w:t>
            </w:r>
          </w:p>
        </w:tc>
        <w:tc>
          <w:tcPr>
            <w:tcW w:w="1307" w:type="dxa"/>
            <w:gridSpan w:val="2"/>
            <w:vAlign w:val="center"/>
          </w:tcPr>
          <w:p w:rsidR="00803DFD" w:rsidRPr="00AC0ABC" w:rsidRDefault="00803DFD" w:rsidP="00803DFD">
            <w:pPr>
              <w:pStyle w:val="StandardParagraphTable"/>
              <w:jc w:val="center"/>
              <w:rPr>
                <w:i/>
                <w:szCs w:val="16"/>
              </w:rPr>
            </w:pPr>
          </w:p>
        </w:tc>
        <w:tc>
          <w:tcPr>
            <w:tcW w:w="1307" w:type="dxa"/>
            <w:gridSpan w:val="2"/>
            <w:vAlign w:val="center"/>
          </w:tcPr>
          <w:p w:rsidR="00803DFD" w:rsidRPr="00AC0ABC" w:rsidRDefault="00803DFD" w:rsidP="00803DFD">
            <w:pPr>
              <w:pStyle w:val="StandardParagraphTable"/>
              <w:jc w:val="center"/>
              <w:rPr>
                <w:i/>
                <w:szCs w:val="16"/>
              </w:rPr>
            </w:pPr>
          </w:p>
        </w:tc>
        <w:tc>
          <w:tcPr>
            <w:tcW w:w="1307" w:type="dxa"/>
            <w:gridSpan w:val="2"/>
            <w:vAlign w:val="center"/>
          </w:tcPr>
          <w:p w:rsidR="00803DFD" w:rsidRPr="00AC0ABC" w:rsidRDefault="00803DFD" w:rsidP="00803DFD">
            <w:pPr>
              <w:pStyle w:val="StandardParagraphTable"/>
              <w:jc w:val="center"/>
              <w:rPr>
                <w:i/>
                <w:szCs w:val="16"/>
              </w:rPr>
            </w:pPr>
          </w:p>
        </w:tc>
        <w:tc>
          <w:tcPr>
            <w:tcW w:w="1307" w:type="dxa"/>
            <w:gridSpan w:val="2"/>
            <w:vAlign w:val="center"/>
          </w:tcPr>
          <w:p w:rsidR="00803DFD" w:rsidRPr="00AC0ABC" w:rsidRDefault="00803DFD" w:rsidP="00803DFD">
            <w:pPr>
              <w:pStyle w:val="StandardParagraphTable"/>
              <w:jc w:val="center"/>
              <w:rPr>
                <w:i/>
                <w:szCs w:val="16"/>
              </w:rPr>
            </w:pPr>
          </w:p>
        </w:tc>
      </w:tr>
      <w:tr w:rsidR="00803DFD" w:rsidTr="00803DFD">
        <w:trPr>
          <w:trHeight w:val="308"/>
        </w:trPr>
        <w:tc>
          <w:tcPr>
            <w:tcW w:w="3798" w:type="dxa"/>
            <w:gridSpan w:val="2"/>
          </w:tcPr>
          <w:p w:rsidR="00803DFD" w:rsidRPr="00A85BFB" w:rsidRDefault="00803DFD" w:rsidP="00803DFD">
            <w:pPr>
              <w:pStyle w:val="StandardParagraphTable"/>
            </w:pPr>
            <w:r w:rsidRPr="00A85BFB">
              <w:t>Rank:</w:t>
            </w:r>
          </w:p>
        </w:tc>
        <w:tc>
          <w:tcPr>
            <w:tcW w:w="1307" w:type="dxa"/>
            <w:gridSpan w:val="2"/>
            <w:vAlign w:val="center"/>
          </w:tcPr>
          <w:p w:rsidR="00803DFD" w:rsidRPr="00AC0ABC" w:rsidRDefault="00803DFD" w:rsidP="00803DFD">
            <w:pPr>
              <w:pStyle w:val="StandardParagraphTable"/>
              <w:jc w:val="center"/>
              <w:rPr>
                <w:i/>
                <w:szCs w:val="16"/>
              </w:rPr>
            </w:pPr>
          </w:p>
        </w:tc>
        <w:tc>
          <w:tcPr>
            <w:tcW w:w="1307" w:type="dxa"/>
            <w:gridSpan w:val="2"/>
            <w:vAlign w:val="center"/>
          </w:tcPr>
          <w:p w:rsidR="00803DFD" w:rsidRPr="00AC0ABC" w:rsidRDefault="00803DFD" w:rsidP="00803DFD">
            <w:pPr>
              <w:pStyle w:val="StandardParagraphTable"/>
              <w:jc w:val="center"/>
              <w:rPr>
                <w:i/>
                <w:szCs w:val="16"/>
              </w:rPr>
            </w:pPr>
          </w:p>
        </w:tc>
        <w:tc>
          <w:tcPr>
            <w:tcW w:w="1307" w:type="dxa"/>
            <w:gridSpan w:val="2"/>
            <w:vAlign w:val="center"/>
          </w:tcPr>
          <w:p w:rsidR="00803DFD" w:rsidRPr="00AC0ABC" w:rsidRDefault="00803DFD" w:rsidP="00803DFD">
            <w:pPr>
              <w:pStyle w:val="StandardParagraphTable"/>
              <w:jc w:val="center"/>
              <w:rPr>
                <w:i/>
                <w:szCs w:val="16"/>
              </w:rPr>
            </w:pPr>
          </w:p>
        </w:tc>
        <w:tc>
          <w:tcPr>
            <w:tcW w:w="1307" w:type="dxa"/>
            <w:gridSpan w:val="2"/>
            <w:vAlign w:val="center"/>
          </w:tcPr>
          <w:p w:rsidR="00803DFD" w:rsidRPr="00AC0ABC" w:rsidRDefault="00803DFD" w:rsidP="00803DFD">
            <w:pPr>
              <w:pStyle w:val="StandardParagraphTable"/>
              <w:jc w:val="center"/>
              <w:rPr>
                <w:i/>
                <w:szCs w:val="16"/>
              </w:rPr>
            </w:pPr>
          </w:p>
        </w:tc>
      </w:tr>
    </w:tbl>
    <w:p w:rsidR="00803DFD" w:rsidRDefault="00803DFD" w:rsidP="00803DFD">
      <w:pPr>
        <w:pStyle w:val="NoSpacing"/>
      </w:pPr>
    </w:p>
    <w:p w:rsidR="00803DFD" w:rsidRDefault="00803DFD" w:rsidP="00803DFD">
      <w:pPr>
        <w:pStyle w:val="Heading2"/>
      </w:pPr>
      <w:r>
        <w:t>Net Present Value</w:t>
      </w:r>
    </w:p>
    <w:p w:rsidR="00803DFD" w:rsidRDefault="00803DFD" w:rsidP="00803DFD">
      <w:pPr>
        <w:pStyle w:val="StandardParagraph"/>
      </w:pPr>
      <w:r w:rsidRPr="00BC4B19">
        <w:t xml:space="preserve">In line with </w:t>
      </w:r>
      <w:r>
        <w:t>the Optional Appraisal Guide, the NPV or NPC for each option can be calculated using discounted cash flow techniques on the capital and revenue costs associated with each option as entered into the GEM model.  The outcomes of these calculations can be</w:t>
      </w:r>
      <w:r w:rsidRPr="00730620">
        <w:t xml:space="preserve"> summarised in the</w:t>
      </w:r>
      <w:r>
        <w:t xml:space="preserve"> exemplar</w:t>
      </w:r>
      <w:r w:rsidRPr="00730620">
        <w:t xml:space="preserve"> table below:</w:t>
      </w:r>
    </w:p>
    <w:tbl>
      <w:tblPr>
        <w:tblW w:w="0" w:type="auto"/>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2552"/>
        <w:gridCol w:w="1683"/>
        <w:gridCol w:w="1683"/>
        <w:gridCol w:w="1683"/>
        <w:gridCol w:w="1683"/>
      </w:tblGrid>
      <w:tr w:rsidR="00803DFD" w:rsidRPr="00FA2FC5" w:rsidTr="00803DFD">
        <w:trPr>
          <w:trHeight w:val="438"/>
        </w:trPr>
        <w:tc>
          <w:tcPr>
            <w:tcW w:w="2552"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spacing w:before="120" w:after="120"/>
              <w:contextualSpacing w:val="0"/>
              <w:jc w:val="center"/>
              <w:rPr>
                <w:b/>
                <w:color w:val="FFFFFF" w:themeColor="background1"/>
              </w:rPr>
            </w:pPr>
          </w:p>
        </w:tc>
        <w:tc>
          <w:tcPr>
            <w:tcW w:w="1683"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spacing w:before="120" w:after="120"/>
              <w:contextualSpacing w:val="0"/>
              <w:jc w:val="center"/>
              <w:rPr>
                <w:b/>
                <w:color w:val="FFFFFF" w:themeColor="background1"/>
              </w:rPr>
            </w:pPr>
            <w:r w:rsidRPr="008453B8">
              <w:rPr>
                <w:b/>
                <w:color w:val="FFFFFF" w:themeColor="background1"/>
              </w:rPr>
              <w:t>Option 1</w:t>
            </w:r>
          </w:p>
        </w:tc>
        <w:tc>
          <w:tcPr>
            <w:tcW w:w="1683"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spacing w:before="120" w:after="120"/>
              <w:contextualSpacing w:val="0"/>
              <w:jc w:val="center"/>
              <w:rPr>
                <w:b/>
                <w:color w:val="FFFFFF" w:themeColor="background1"/>
              </w:rPr>
            </w:pPr>
            <w:r w:rsidRPr="008453B8">
              <w:rPr>
                <w:b/>
                <w:color w:val="FFFFFF" w:themeColor="background1"/>
              </w:rPr>
              <w:t>Option 2</w:t>
            </w:r>
          </w:p>
        </w:tc>
        <w:tc>
          <w:tcPr>
            <w:tcW w:w="1683"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spacing w:before="120" w:after="120"/>
              <w:contextualSpacing w:val="0"/>
              <w:jc w:val="center"/>
              <w:rPr>
                <w:b/>
                <w:color w:val="FFFFFF" w:themeColor="background1"/>
              </w:rPr>
            </w:pPr>
            <w:r w:rsidRPr="008453B8">
              <w:rPr>
                <w:b/>
                <w:color w:val="FFFFFF" w:themeColor="background1"/>
              </w:rPr>
              <w:t>Option 3</w:t>
            </w:r>
          </w:p>
        </w:tc>
        <w:tc>
          <w:tcPr>
            <w:tcW w:w="1683"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spacing w:before="120" w:after="120"/>
              <w:contextualSpacing w:val="0"/>
              <w:jc w:val="center"/>
              <w:rPr>
                <w:b/>
                <w:color w:val="FFFFFF" w:themeColor="background1"/>
              </w:rPr>
            </w:pPr>
            <w:r w:rsidRPr="008453B8">
              <w:rPr>
                <w:b/>
                <w:color w:val="FFFFFF" w:themeColor="background1"/>
              </w:rPr>
              <w:t>Option 4</w:t>
            </w:r>
          </w:p>
        </w:tc>
      </w:tr>
      <w:tr w:rsidR="00803DFD" w:rsidRPr="00FA2FC5" w:rsidTr="00803DFD">
        <w:trPr>
          <w:trHeight w:val="410"/>
        </w:trPr>
        <w:tc>
          <w:tcPr>
            <w:tcW w:w="2552" w:type="dxa"/>
            <w:vAlign w:val="center"/>
          </w:tcPr>
          <w:p w:rsidR="00803DFD" w:rsidRPr="00FA2FC5" w:rsidRDefault="00803DFD" w:rsidP="00803DFD">
            <w:pPr>
              <w:pStyle w:val="StandardParagraphTable"/>
            </w:pPr>
            <w:r>
              <w:t>Net Present Value / Cost (£)</w:t>
            </w:r>
          </w:p>
        </w:tc>
        <w:tc>
          <w:tcPr>
            <w:tcW w:w="1683" w:type="dxa"/>
            <w:vAlign w:val="center"/>
          </w:tcPr>
          <w:p w:rsidR="00803DFD" w:rsidRPr="00FA2FC5" w:rsidRDefault="00803DFD" w:rsidP="00803DFD">
            <w:pPr>
              <w:pStyle w:val="StandardParagraphTable"/>
              <w:jc w:val="center"/>
            </w:pPr>
          </w:p>
        </w:tc>
        <w:tc>
          <w:tcPr>
            <w:tcW w:w="1683" w:type="dxa"/>
            <w:vAlign w:val="center"/>
          </w:tcPr>
          <w:p w:rsidR="00803DFD" w:rsidRPr="00FA2FC5" w:rsidRDefault="00803DFD" w:rsidP="00803DFD">
            <w:pPr>
              <w:pStyle w:val="StandardParagraphTable"/>
              <w:jc w:val="center"/>
            </w:pPr>
          </w:p>
        </w:tc>
        <w:tc>
          <w:tcPr>
            <w:tcW w:w="1683" w:type="dxa"/>
            <w:vAlign w:val="center"/>
          </w:tcPr>
          <w:p w:rsidR="00803DFD" w:rsidRPr="00FA2FC5" w:rsidRDefault="00803DFD" w:rsidP="00803DFD">
            <w:pPr>
              <w:pStyle w:val="StandardParagraphTable"/>
              <w:jc w:val="center"/>
            </w:pPr>
          </w:p>
        </w:tc>
        <w:tc>
          <w:tcPr>
            <w:tcW w:w="1683" w:type="dxa"/>
            <w:vAlign w:val="center"/>
          </w:tcPr>
          <w:p w:rsidR="00803DFD" w:rsidRPr="00FA2FC5" w:rsidRDefault="00803DFD" w:rsidP="00803DFD">
            <w:pPr>
              <w:pStyle w:val="StandardParagraphTable"/>
              <w:jc w:val="center"/>
            </w:pPr>
          </w:p>
        </w:tc>
      </w:tr>
    </w:tbl>
    <w:p w:rsidR="00803DFD" w:rsidRDefault="00803DFD" w:rsidP="00803DFD">
      <w:pPr>
        <w:pStyle w:val="NoSpacing"/>
      </w:pPr>
    </w:p>
    <w:p w:rsidR="00803DFD" w:rsidRPr="00AE005B" w:rsidRDefault="00803DFD" w:rsidP="00803DFD">
      <w:pPr>
        <w:pStyle w:val="Heading2"/>
      </w:pPr>
      <w:r>
        <w:t>Assessing Uncertainty</w:t>
      </w:r>
    </w:p>
    <w:p w:rsidR="00803DFD" w:rsidRDefault="00803DFD" w:rsidP="00803DFD">
      <w:pPr>
        <w:pStyle w:val="StandardParagraph"/>
      </w:pPr>
      <w:r>
        <w:t>Sensitivity analysis of both the Net Present Value / Cost and non-financial benefits of each option can then be carried out to understand how reactive these results are to changes in underlying assumptions.</w:t>
      </w:r>
    </w:p>
    <w:p w:rsidR="00803DFD" w:rsidRDefault="00803DFD" w:rsidP="00803DFD">
      <w:pPr>
        <w:pStyle w:val="StandardParagraph"/>
      </w:pPr>
      <w:r>
        <w:t>Section 5.2 of the Option Appraisal Guide provides a list of potential uncertainties that could be analysed.  Those with greatest potential to change the ranking of options should be selected and tested.</w:t>
      </w:r>
    </w:p>
    <w:p w:rsidR="00803DFD" w:rsidRDefault="00803DFD" w:rsidP="00803DFD">
      <w:pPr>
        <w:pStyle w:val="StandardParagraph"/>
      </w:pPr>
      <w:r>
        <w:t>The GEM model can be used to carry out the sensitivity analysis, with the results presented in a similar manner to the exemplar table below:</w:t>
      </w:r>
    </w:p>
    <w:tbl>
      <w:tblPr>
        <w:tblW w:w="0" w:type="auto"/>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2411"/>
        <w:gridCol w:w="859"/>
        <w:gridCol w:w="859"/>
        <w:gridCol w:w="859"/>
        <w:gridCol w:w="859"/>
        <w:gridCol w:w="859"/>
        <w:gridCol w:w="859"/>
        <w:gridCol w:w="859"/>
        <w:gridCol w:w="860"/>
      </w:tblGrid>
      <w:tr w:rsidR="00803DFD" w:rsidRPr="00FA2FC5" w:rsidTr="00803DFD">
        <w:trPr>
          <w:trHeight w:val="438"/>
        </w:trPr>
        <w:tc>
          <w:tcPr>
            <w:tcW w:w="2411" w:type="dxa"/>
            <w:vMerge w:val="restart"/>
            <w:tcBorders>
              <w:top w:val="single" w:sz="18" w:space="0" w:color="auto"/>
            </w:tcBorders>
            <w:shd w:val="clear" w:color="auto" w:fill="31849B" w:themeFill="accent5" w:themeFillShade="BF"/>
            <w:vAlign w:val="center"/>
          </w:tcPr>
          <w:p w:rsidR="00803DFD" w:rsidRPr="008453B8" w:rsidRDefault="00803DFD" w:rsidP="00803DFD">
            <w:pPr>
              <w:pStyle w:val="StandardParagraphTable"/>
              <w:spacing w:before="120" w:after="120"/>
              <w:contextualSpacing w:val="0"/>
              <w:jc w:val="center"/>
              <w:rPr>
                <w:b/>
                <w:color w:val="FFFFFF" w:themeColor="background1"/>
              </w:rPr>
            </w:pPr>
            <w:r>
              <w:rPr>
                <w:b/>
                <w:color w:val="FFFFFF" w:themeColor="background1"/>
              </w:rPr>
              <w:t>Sensitivity Scenario</w:t>
            </w:r>
          </w:p>
        </w:tc>
        <w:tc>
          <w:tcPr>
            <w:tcW w:w="1718" w:type="dxa"/>
            <w:gridSpan w:val="2"/>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Option 1</w:t>
            </w:r>
          </w:p>
        </w:tc>
        <w:tc>
          <w:tcPr>
            <w:tcW w:w="1718" w:type="dxa"/>
            <w:gridSpan w:val="2"/>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Option 2</w:t>
            </w:r>
          </w:p>
        </w:tc>
        <w:tc>
          <w:tcPr>
            <w:tcW w:w="1718" w:type="dxa"/>
            <w:gridSpan w:val="2"/>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Option 3</w:t>
            </w:r>
          </w:p>
        </w:tc>
        <w:tc>
          <w:tcPr>
            <w:tcW w:w="1719" w:type="dxa"/>
            <w:gridSpan w:val="2"/>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Option 4</w:t>
            </w:r>
          </w:p>
        </w:tc>
      </w:tr>
      <w:tr w:rsidR="00803DFD" w:rsidRPr="00FA2FC5" w:rsidTr="00803DFD">
        <w:trPr>
          <w:trHeight w:val="438"/>
        </w:trPr>
        <w:tc>
          <w:tcPr>
            <w:tcW w:w="2411" w:type="dxa"/>
            <w:vMerge/>
            <w:tcBorders>
              <w:bottom w:val="single" w:sz="6" w:space="0" w:color="auto"/>
            </w:tcBorders>
            <w:shd w:val="clear" w:color="auto" w:fill="31849B" w:themeFill="accent5" w:themeFillShade="BF"/>
            <w:vAlign w:val="center"/>
          </w:tcPr>
          <w:p w:rsidR="00803DFD" w:rsidRPr="008453B8" w:rsidRDefault="00803DFD" w:rsidP="00803DFD">
            <w:pPr>
              <w:pStyle w:val="StandardParagraphTable"/>
              <w:spacing w:before="120" w:after="120"/>
              <w:contextualSpacing w:val="0"/>
              <w:jc w:val="center"/>
              <w:rPr>
                <w:b/>
                <w:color w:val="FFFFFF" w:themeColor="background1"/>
              </w:rPr>
            </w:pPr>
          </w:p>
        </w:tc>
        <w:tc>
          <w:tcPr>
            <w:tcW w:w="859"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Pr>
                <w:b/>
                <w:color w:val="FFFFFF" w:themeColor="background1"/>
              </w:rPr>
              <w:t>NPV (£m)</w:t>
            </w:r>
          </w:p>
        </w:tc>
        <w:tc>
          <w:tcPr>
            <w:tcW w:w="859"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Pr>
                <w:b/>
                <w:color w:val="FFFFFF" w:themeColor="background1"/>
              </w:rPr>
              <w:t>Rank</w:t>
            </w:r>
          </w:p>
        </w:tc>
        <w:tc>
          <w:tcPr>
            <w:tcW w:w="859"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Pr>
                <w:b/>
                <w:color w:val="FFFFFF" w:themeColor="background1"/>
              </w:rPr>
              <w:t>NPV (£m)</w:t>
            </w:r>
          </w:p>
        </w:tc>
        <w:tc>
          <w:tcPr>
            <w:tcW w:w="859"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Pr>
                <w:b/>
                <w:color w:val="FFFFFF" w:themeColor="background1"/>
              </w:rPr>
              <w:t>Rank</w:t>
            </w:r>
          </w:p>
        </w:tc>
        <w:tc>
          <w:tcPr>
            <w:tcW w:w="859"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Pr>
                <w:b/>
                <w:color w:val="FFFFFF" w:themeColor="background1"/>
              </w:rPr>
              <w:t>NPV (£m)</w:t>
            </w:r>
          </w:p>
        </w:tc>
        <w:tc>
          <w:tcPr>
            <w:tcW w:w="859"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Pr>
                <w:b/>
                <w:color w:val="FFFFFF" w:themeColor="background1"/>
              </w:rPr>
              <w:t>Rank</w:t>
            </w:r>
          </w:p>
        </w:tc>
        <w:tc>
          <w:tcPr>
            <w:tcW w:w="859"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Pr>
                <w:b/>
                <w:color w:val="FFFFFF" w:themeColor="background1"/>
              </w:rPr>
              <w:t>NPV (£m)</w:t>
            </w:r>
          </w:p>
        </w:tc>
        <w:tc>
          <w:tcPr>
            <w:tcW w:w="860"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Pr>
                <w:b/>
                <w:color w:val="FFFFFF" w:themeColor="background1"/>
              </w:rPr>
              <w:t>Rank</w:t>
            </w:r>
          </w:p>
        </w:tc>
      </w:tr>
      <w:tr w:rsidR="00803DFD" w:rsidRPr="00FA2FC5" w:rsidTr="00803DFD">
        <w:trPr>
          <w:trHeight w:val="410"/>
        </w:trPr>
        <w:tc>
          <w:tcPr>
            <w:tcW w:w="2411" w:type="dxa"/>
            <w:tcBorders>
              <w:top w:val="single" w:sz="6" w:space="0" w:color="auto"/>
            </w:tcBorders>
            <w:vAlign w:val="center"/>
          </w:tcPr>
          <w:p w:rsidR="00803DFD" w:rsidRPr="00FA2FC5" w:rsidRDefault="00803DFD" w:rsidP="00803DFD">
            <w:pPr>
              <w:pStyle w:val="StandardParagraphTable"/>
            </w:pPr>
            <w:r>
              <w:t>Scenario 1: no changes</w:t>
            </w:r>
          </w:p>
        </w:tc>
        <w:tc>
          <w:tcPr>
            <w:tcW w:w="859" w:type="dxa"/>
            <w:tcBorders>
              <w:top w:val="single" w:sz="6" w:space="0" w:color="auto"/>
            </w:tcBorders>
            <w:vAlign w:val="center"/>
          </w:tcPr>
          <w:p w:rsidR="00803DFD" w:rsidRPr="00FA2FC5" w:rsidRDefault="00803DFD" w:rsidP="00803DFD">
            <w:pPr>
              <w:pStyle w:val="StandardParagraphTable"/>
              <w:jc w:val="center"/>
            </w:pPr>
          </w:p>
        </w:tc>
        <w:tc>
          <w:tcPr>
            <w:tcW w:w="859" w:type="dxa"/>
            <w:tcBorders>
              <w:top w:val="single" w:sz="6" w:space="0" w:color="auto"/>
            </w:tcBorders>
            <w:vAlign w:val="center"/>
          </w:tcPr>
          <w:p w:rsidR="00803DFD" w:rsidRPr="00FA2FC5" w:rsidRDefault="00803DFD" w:rsidP="00803DFD">
            <w:pPr>
              <w:pStyle w:val="StandardParagraphTable"/>
              <w:jc w:val="center"/>
            </w:pPr>
          </w:p>
        </w:tc>
        <w:tc>
          <w:tcPr>
            <w:tcW w:w="859" w:type="dxa"/>
            <w:tcBorders>
              <w:top w:val="single" w:sz="6" w:space="0" w:color="auto"/>
            </w:tcBorders>
            <w:vAlign w:val="center"/>
          </w:tcPr>
          <w:p w:rsidR="00803DFD" w:rsidRPr="00FA2FC5" w:rsidRDefault="00803DFD" w:rsidP="00803DFD">
            <w:pPr>
              <w:pStyle w:val="StandardParagraphTable"/>
              <w:jc w:val="center"/>
            </w:pPr>
          </w:p>
        </w:tc>
        <w:tc>
          <w:tcPr>
            <w:tcW w:w="859" w:type="dxa"/>
            <w:tcBorders>
              <w:top w:val="single" w:sz="6" w:space="0" w:color="auto"/>
            </w:tcBorders>
            <w:vAlign w:val="center"/>
          </w:tcPr>
          <w:p w:rsidR="00803DFD" w:rsidRPr="00FA2FC5" w:rsidRDefault="00803DFD" w:rsidP="00803DFD">
            <w:pPr>
              <w:pStyle w:val="StandardParagraphTable"/>
              <w:jc w:val="center"/>
            </w:pPr>
          </w:p>
        </w:tc>
        <w:tc>
          <w:tcPr>
            <w:tcW w:w="859" w:type="dxa"/>
            <w:tcBorders>
              <w:top w:val="single" w:sz="6" w:space="0" w:color="auto"/>
            </w:tcBorders>
            <w:vAlign w:val="center"/>
          </w:tcPr>
          <w:p w:rsidR="00803DFD" w:rsidRPr="00FA2FC5" w:rsidRDefault="00803DFD" w:rsidP="00803DFD">
            <w:pPr>
              <w:pStyle w:val="StandardParagraphTable"/>
              <w:jc w:val="center"/>
            </w:pPr>
          </w:p>
        </w:tc>
        <w:tc>
          <w:tcPr>
            <w:tcW w:w="859" w:type="dxa"/>
            <w:tcBorders>
              <w:top w:val="single" w:sz="6" w:space="0" w:color="auto"/>
            </w:tcBorders>
            <w:vAlign w:val="center"/>
          </w:tcPr>
          <w:p w:rsidR="00803DFD" w:rsidRPr="00FA2FC5" w:rsidRDefault="00803DFD" w:rsidP="00803DFD">
            <w:pPr>
              <w:pStyle w:val="StandardParagraphTable"/>
              <w:jc w:val="center"/>
            </w:pPr>
          </w:p>
        </w:tc>
        <w:tc>
          <w:tcPr>
            <w:tcW w:w="859" w:type="dxa"/>
            <w:tcBorders>
              <w:top w:val="single" w:sz="6" w:space="0" w:color="auto"/>
            </w:tcBorders>
            <w:vAlign w:val="center"/>
          </w:tcPr>
          <w:p w:rsidR="00803DFD" w:rsidRPr="00FA2FC5" w:rsidRDefault="00803DFD" w:rsidP="00803DFD">
            <w:pPr>
              <w:pStyle w:val="StandardParagraphTable"/>
              <w:jc w:val="center"/>
            </w:pPr>
          </w:p>
        </w:tc>
        <w:tc>
          <w:tcPr>
            <w:tcW w:w="860" w:type="dxa"/>
            <w:tcBorders>
              <w:top w:val="single" w:sz="6" w:space="0" w:color="auto"/>
            </w:tcBorders>
            <w:vAlign w:val="center"/>
          </w:tcPr>
          <w:p w:rsidR="00803DFD" w:rsidRPr="00FA2FC5" w:rsidRDefault="00803DFD" w:rsidP="00803DFD">
            <w:pPr>
              <w:pStyle w:val="StandardParagraphTable"/>
              <w:jc w:val="center"/>
            </w:pPr>
          </w:p>
        </w:tc>
      </w:tr>
      <w:tr w:rsidR="00803DFD" w:rsidRPr="00FA2FC5" w:rsidTr="00803DFD">
        <w:trPr>
          <w:trHeight w:val="410"/>
        </w:trPr>
        <w:tc>
          <w:tcPr>
            <w:tcW w:w="2411" w:type="dxa"/>
            <w:vAlign w:val="center"/>
          </w:tcPr>
          <w:p w:rsidR="00803DFD" w:rsidRPr="00FA2FC5" w:rsidRDefault="00803DFD" w:rsidP="00803DFD">
            <w:pPr>
              <w:pStyle w:val="StandardParagraphTable"/>
            </w:pPr>
            <w:r>
              <w:t xml:space="preserve">Scenario 2: </w:t>
            </w:r>
          </w:p>
        </w:tc>
        <w:tc>
          <w:tcPr>
            <w:tcW w:w="859" w:type="dxa"/>
            <w:vAlign w:val="center"/>
          </w:tcPr>
          <w:p w:rsidR="00803DFD" w:rsidRPr="00FA2FC5" w:rsidRDefault="00803DFD" w:rsidP="00803DFD">
            <w:pPr>
              <w:pStyle w:val="StandardParagraphTable"/>
              <w:jc w:val="center"/>
            </w:pPr>
          </w:p>
        </w:tc>
        <w:tc>
          <w:tcPr>
            <w:tcW w:w="859" w:type="dxa"/>
            <w:vAlign w:val="center"/>
          </w:tcPr>
          <w:p w:rsidR="00803DFD" w:rsidRPr="00FA2FC5" w:rsidRDefault="00803DFD" w:rsidP="00803DFD">
            <w:pPr>
              <w:pStyle w:val="StandardParagraphTable"/>
              <w:jc w:val="center"/>
            </w:pPr>
          </w:p>
        </w:tc>
        <w:tc>
          <w:tcPr>
            <w:tcW w:w="859" w:type="dxa"/>
            <w:vAlign w:val="center"/>
          </w:tcPr>
          <w:p w:rsidR="00803DFD" w:rsidRPr="00FA2FC5" w:rsidRDefault="00803DFD" w:rsidP="00803DFD">
            <w:pPr>
              <w:pStyle w:val="StandardParagraphTable"/>
              <w:jc w:val="center"/>
            </w:pPr>
          </w:p>
        </w:tc>
        <w:tc>
          <w:tcPr>
            <w:tcW w:w="859" w:type="dxa"/>
            <w:vAlign w:val="center"/>
          </w:tcPr>
          <w:p w:rsidR="00803DFD" w:rsidRPr="00FA2FC5" w:rsidRDefault="00803DFD" w:rsidP="00803DFD">
            <w:pPr>
              <w:pStyle w:val="StandardParagraphTable"/>
              <w:jc w:val="center"/>
            </w:pPr>
          </w:p>
        </w:tc>
        <w:tc>
          <w:tcPr>
            <w:tcW w:w="859" w:type="dxa"/>
            <w:vAlign w:val="center"/>
          </w:tcPr>
          <w:p w:rsidR="00803DFD" w:rsidRPr="00FA2FC5" w:rsidRDefault="00803DFD" w:rsidP="00803DFD">
            <w:pPr>
              <w:pStyle w:val="StandardParagraphTable"/>
              <w:jc w:val="center"/>
            </w:pPr>
          </w:p>
        </w:tc>
        <w:tc>
          <w:tcPr>
            <w:tcW w:w="859" w:type="dxa"/>
            <w:vAlign w:val="center"/>
          </w:tcPr>
          <w:p w:rsidR="00803DFD" w:rsidRPr="00FA2FC5" w:rsidRDefault="00803DFD" w:rsidP="00803DFD">
            <w:pPr>
              <w:pStyle w:val="StandardParagraphTable"/>
              <w:jc w:val="center"/>
            </w:pPr>
          </w:p>
        </w:tc>
        <w:tc>
          <w:tcPr>
            <w:tcW w:w="859" w:type="dxa"/>
            <w:vAlign w:val="center"/>
          </w:tcPr>
          <w:p w:rsidR="00803DFD" w:rsidRPr="00FA2FC5" w:rsidRDefault="00803DFD" w:rsidP="00803DFD">
            <w:pPr>
              <w:pStyle w:val="StandardParagraphTable"/>
              <w:jc w:val="center"/>
            </w:pPr>
          </w:p>
        </w:tc>
        <w:tc>
          <w:tcPr>
            <w:tcW w:w="860" w:type="dxa"/>
            <w:vAlign w:val="center"/>
          </w:tcPr>
          <w:p w:rsidR="00803DFD" w:rsidRPr="00FA2FC5" w:rsidRDefault="00803DFD" w:rsidP="00803DFD">
            <w:pPr>
              <w:pStyle w:val="StandardParagraphTable"/>
              <w:jc w:val="center"/>
            </w:pPr>
          </w:p>
        </w:tc>
      </w:tr>
      <w:tr w:rsidR="00803DFD" w:rsidRPr="00FA2FC5" w:rsidTr="00803DFD">
        <w:trPr>
          <w:trHeight w:val="410"/>
        </w:trPr>
        <w:tc>
          <w:tcPr>
            <w:tcW w:w="2411" w:type="dxa"/>
            <w:vAlign w:val="center"/>
          </w:tcPr>
          <w:p w:rsidR="00803DFD" w:rsidRPr="00FA2FC5" w:rsidRDefault="00803DFD" w:rsidP="00803DFD">
            <w:pPr>
              <w:pStyle w:val="StandardParagraphTable"/>
            </w:pPr>
            <w:r>
              <w:t>Scenario 3:</w:t>
            </w:r>
          </w:p>
        </w:tc>
        <w:tc>
          <w:tcPr>
            <w:tcW w:w="859" w:type="dxa"/>
            <w:vAlign w:val="center"/>
          </w:tcPr>
          <w:p w:rsidR="00803DFD" w:rsidRPr="00FA2FC5" w:rsidRDefault="00803DFD" w:rsidP="00803DFD">
            <w:pPr>
              <w:pStyle w:val="StandardParagraphTable"/>
              <w:jc w:val="center"/>
            </w:pPr>
          </w:p>
        </w:tc>
        <w:tc>
          <w:tcPr>
            <w:tcW w:w="859" w:type="dxa"/>
            <w:vAlign w:val="center"/>
          </w:tcPr>
          <w:p w:rsidR="00803DFD" w:rsidRPr="00FA2FC5" w:rsidRDefault="00803DFD" w:rsidP="00803DFD">
            <w:pPr>
              <w:pStyle w:val="StandardParagraphTable"/>
              <w:jc w:val="center"/>
            </w:pPr>
          </w:p>
        </w:tc>
        <w:tc>
          <w:tcPr>
            <w:tcW w:w="859" w:type="dxa"/>
            <w:vAlign w:val="center"/>
          </w:tcPr>
          <w:p w:rsidR="00803DFD" w:rsidRPr="00FA2FC5" w:rsidRDefault="00803DFD" w:rsidP="00803DFD">
            <w:pPr>
              <w:pStyle w:val="StandardParagraphTable"/>
              <w:jc w:val="center"/>
            </w:pPr>
          </w:p>
        </w:tc>
        <w:tc>
          <w:tcPr>
            <w:tcW w:w="859" w:type="dxa"/>
            <w:vAlign w:val="center"/>
          </w:tcPr>
          <w:p w:rsidR="00803DFD" w:rsidRPr="00FA2FC5" w:rsidRDefault="00803DFD" w:rsidP="00803DFD">
            <w:pPr>
              <w:pStyle w:val="StandardParagraphTable"/>
              <w:jc w:val="center"/>
            </w:pPr>
          </w:p>
        </w:tc>
        <w:tc>
          <w:tcPr>
            <w:tcW w:w="859" w:type="dxa"/>
            <w:vAlign w:val="center"/>
          </w:tcPr>
          <w:p w:rsidR="00803DFD" w:rsidRPr="00FA2FC5" w:rsidRDefault="00803DFD" w:rsidP="00803DFD">
            <w:pPr>
              <w:pStyle w:val="StandardParagraphTable"/>
              <w:jc w:val="center"/>
            </w:pPr>
          </w:p>
        </w:tc>
        <w:tc>
          <w:tcPr>
            <w:tcW w:w="859" w:type="dxa"/>
            <w:vAlign w:val="center"/>
          </w:tcPr>
          <w:p w:rsidR="00803DFD" w:rsidRPr="00FA2FC5" w:rsidRDefault="00803DFD" w:rsidP="00803DFD">
            <w:pPr>
              <w:pStyle w:val="StandardParagraphTable"/>
              <w:jc w:val="center"/>
            </w:pPr>
          </w:p>
        </w:tc>
        <w:tc>
          <w:tcPr>
            <w:tcW w:w="859" w:type="dxa"/>
            <w:vAlign w:val="center"/>
          </w:tcPr>
          <w:p w:rsidR="00803DFD" w:rsidRPr="00FA2FC5" w:rsidRDefault="00803DFD" w:rsidP="00803DFD">
            <w:pPr>
              <w:pStyle w:val="StandardParagraphTable"/>
              <w:jc w:val="center"/>
            </w:pPr>
          </w:p>
        </w:tc>
        <w:tc>
          <w:tcPr>
            <w:tcW w:w="860" w:type="dxa"/>
            <w:vAlign w:val="center"/>
          </w:tcPr>
          <w:p w:rsidR="00803DFD" w:rsidRPr="00FA2FC5" w:rsidRDefault="00803DFD" w:rsidP="00803DFD">
            <w:pPr>
              <w:pStyle w:val="StandardParagraphTable"/>
              <w:jc w:val="center"/>
            </w:pPr>
          </w:p>
        </w:tc>
      </w:tr>
      <w:tr w:rsidR="00803DFD" w:rsidRPr="00FA2FC5" w:rsidTr="00803DFD">
        <w:trPr>
          <w:trHeight w:val="410"/>
        </w:trPr>
        <w:tc>
          <w:tcPr>
            <w:tcW w:w="2411" w:type="dxa"/>
            <w:vAlign w:val="center"/>
          </w:tcPr>
          <w:p w:rsidR="00803DFD" w:rsidRPr="00FA2FC5" w:rsidRDefault="00803DFD" w:rsidP="00803DFD">
            <w:pPr>
              <w:pStyle w:val="StandardParagraphTable"/>
            </w:pPr>
            <w:r>
              <w:t>Scenario 4:</w:t>
            </w:r>
          </w:p>
        </w:tc>
        <w:tc>
          <w:tcPr>
            <w:tcW w:w="859" w:type="dxa"/>
            <w:vAlign w:val="center"/>
          </w:tcPr>
          <w:p w:rsidR="00803DFD" w:rsidRPr="00FA2FC5" w:rsidRDefault="00803DFD" w:rsidP="00803DFD">
            <w:pPr>
              <w:pStyle w:val="StandardParagraphTable"/>
              <w:jc w:val="center"/>
            </w:pPr>
          </w:p>
        </w:tc>
        <w:tc>
          <w:tcPr>
            <w:tcW w:w="859" w:type="dxa"/>
            <w:vAlign w:val="center"/>
          </w:tcPr>
          <w:p w:rsidR="00803DFD" w:rsidRPr="00FA2FC5" w:rsidRDefault="00803DFD" w:rsidP="00803DFD">
            <w:pPr>
              <w:pStyle w:val="StandardParagraphTable"/>
              <w:jc w:val="center"/>
            </w:pPr>
          </w:p>
        </w:tc>
        <w:tc>
          <w:tcPr>
            <w:tcW w:w="859" w:type="dxa"/>
            <w:vAlign w:val="center"/>
          </w:tcPr>
          <w:p w:rsidR="00803DFD" w:rsidRPr="00FA2FC5" w:rsidRDefault="00803DFD" w:rsidP="00803DFD">
            <w:pPr>
              <w:pStyle w:val="StandardParagraphTable"/>
              <w:jc w:val="center"/>
            </w:pPr>
          </w:p>
        </w:tc>
        <w:tc>
          <w:tcPr>
            <w:tcW w:w="859" w:type="dxa"/>
            <w:vAlign w:val="center"/>
          </w:tcPr>
          <w:p w:rsidR="00803DFD" w:rsidRPr="00FA2FC5" w:rsidRDefault="00803DFD" w:rsidP="00803DFD">
            <w:pPr>
              <w:pStyle w:val="StandardParagraphTable"/>
              <w:jc w:val="center"/>
            </w:pPr>
          </w:p>
        </w:tc>
        <w:tc>
          <w:tcPr>
            <w:tcW w:w="859" w:type="dxa"/>
            <w:vAlign w:val="center"/>
          </w:tcPr>
          <w:p w:rsidR="00803DFD" w:rsidRPr="00FA2FC5" w:rsidRDefault="00803DFD" w:rsidP="00803DFD">
            <w:pPr>
              <w:pStyle w:val="StandardParagraphTable"/>
              <w:jc w:val="center"/>
            </w:pPr>
          </w:p>
        </w:tc>
        <w:tc>
          <w:tcPr>
            <w:tcW w:w="859" w:type="dxa"/>
            <w:vAlign w:val="center"/>
          </w:tcPr>
          <w:p w:rsidR="00803DFD" w:rsidRPr="00FA2FC5" w:rsidRDefault="00803DFD" w:rsidP="00803DFD">
            <w:pPr>
              <w:pStyle w:val="StandardParagraphTable"/>
              <w:jc w:val="center"/>
            </w:pPr>
          </w:p>
        </w:tc>
        <w:tc>
          <w:tcPr>
            <w:tcW w:w="859" w:type="dxa"/>
            <w:vAlign w:val="center"/>
          </w:tcPr>
          <w:p w:rsidR="00803DFD" w:rsidRPr="00FA2FC5" w:rsidRDefault="00803DFD" w:rsidP="00803DFD">
            <w:pPr>
              <w:pStyle w:val="StandardParagraphTable"/>
              <w:jc w:val="center"/>
            </w:pPr>
          </w:p>
        </w:tc>
        <w:tc>
          <w:tcPr>
            <w:tcW w:w="860" w:type="dxa"/>
            <w:vAlign w:val="center"/>
          </w:tcPr>
          <w:p w:rsidR="00803DFD" w:rsidRPr="00FA2FC5" w:rsidRDefault="00803DFD" w:rsidP="00803DFD">
            <w:pPr>
              <w:pStyle w:val="StandardParagraphTable"/>
              <w:jc w:val="center"/>
            </w:pPr>
          </w:p>
        </w:tc>
      </w:tr>
      <w:tr w:rsidR="00803DFD" w:rsidRPr="00FA2FC5" w:rsidTr="00803DFD">
        <w:trPr>
          <w:trHeight w:val="410"/>
        </w:trPr>
        <w:tc>
          <w:tcPr>
            <w:tcW w:w="2411" w:type="dxa"/>
            <w:vAlign w:val="center"/>
          </w:tcPr>
          <w:p w:rsidR="00803DFD" w:rsidRPr="00ED7E88" w:rsidRDefault="00803DFD" w:rsidP="00803DFD">
            <w:pPr>
              <w:pStyle w:val="StandardParagraphTable"/>
            </w:pPr>
            <w:r w:rsidRPr="00ED7E88">
              <w:t>Scenario 5:</w:t>
            </w:r>
          </w:p>
        </w:tc>
        <w:tc>
          <w:tcPr>
            <w:tcW w:w="859" w:type="dxa"/>
            <w:vAlign w:val="center"/>
          </w:tcPr>
          <w:p w:rsidR="00803DFD" w:rsidRPr="00ED7E88" w:rsidRDefault="00803DFD" w:rsidP="00803DFD">
            <w:pPr>
              <w:pStyle w:val="StandardParagraphTable"/>
              <w:jc w:val="center"/>
            </w:pPr>
          </w:p>
        </w:tc>
        <w:tc>
          <w:tcPr>
            <w:tcW w:w="859" w:type="dxa"/>
            <w:vAlign w:val="center"/>
          </w:tcPr>
          <w:p w:rsidR="00803DFD" w:rsidRPr="00ED7E88" w:rsidRDefault="00803DFD" w:rsidP="00803DFD">
            <w:pPr>
              <w:pStyle w:val="StandardParagraphTable"/>
              <w:jc w:val="center"/>
            </w:pPr>
          </w:p>
        </w:tc>
        <w:tc>
          <w:tcPr>
            <w:tcW w:w="859" w:type="dxa"/>
            <w:vAlign w:val="center"/>
          </w:tcPr>
          <w:p w:rsidR="00803DFD" w:rsidRPr="00ED7E88" w:rsidRDefault="00803DFD" w:rsidP="00803DFD">
            <w:pPr>
              <w:pStyle w:val="StandardParagraphTable"/>
              <w:jc w:val="center"/>
            </w:pPr>
          </w:p>
        </w:tc>
        <w:tc>
          <w:tcPr>
            <w:tcW w:w="859" w:type="dxa"/>
            <w:vAlign w:val="center"/>
          </w:tcPr>
          <w:p w:rsidR="00803DFD" w:rsidRPr="00ED7E88" w:rsidRDefault="00803DFD" w:rsidP="00803DFD">
            <w:pPr>
              <w:pStyle w:val="StandardParagraphTable"/>
              <w:jc w:val="center"/>
            </w:pPr>
          </w:p>
        </w:tc>
        <w:tc>
          <w:tcPr>
            <w:tcW w:w="859" w:type="dxa"/>
            <w:vAlign w:val="center"/>
          </w:tcPr>
          <w:p w:rsidR="00803DFD" w:rsidRPr="00ED7E88" w:rsidRDefault="00803DFD" w:rsidP="00803DFD">
            <w:pPr>
              <w:pStyle w:val="StandardParagraphTable"/>
              <w:jc w:val="center"/>
            </w:pPr>
          </w:p>
        </w:tc>
        <w:tc>
          <w:tcPr>
            <w:tcW w:w="859" w:type="dxa"/>
            <w:vAlign w:val="center"/>
          </w:tcPr>
          <w:p w:rsidR="00803DFD" w:rsidRPr="00ED7E88" w:rsidRDefault="00803DFD" w:rsidP="00803DFD">
            <w:pPr>
              <w:pStyle w:val="StandardParagraphTable"/>
              <w:jc w:val="center"/>
            </w:pPr>
          </w:p>
        </w:tc>
        <w:tc>
          <w:tcPr>
            <w:tcW w:w="859" w:type="dxa"/>
            <w:vAlign w:val="center"/>
          </w:tcPr>
          <w:p w:rsidR="00803DFD" w:rsidRPr="00ED7E88" w:rsidRDefault="00803DFD" w:rsidP="00803DFD">
            <w:pPr>
              <w:pStyle w:val="StandardParagraphTable"/>
              <w:jc w:val="center"/>
            </w:pPr>
          </w:p>
        </w:tc>
        <w:tc>
          <w:tcPr>
            <w:tcW w:w="860" w:type="dxa"/>
            <w:vAlign w:val="center"/>
          </w:tcPr>
          <w:p w:rsidR="00803DFD" w:rsidRPr="00ED7E88" w:rsidRDefault="00803DFD" w:rsidP="00803DFD">
            <w:pPr>
              <w:pStyle w:val="StandardParagraphTable"/>
              <w:jc w:val="center"/>
            </w:pPr>
          </w:p>
        </w:tc>
      </w:tr>
    </w:tbl>
    <w:p w:rsidR="00803DFD" w:rsidRDefault="00803DFD" w:rsidP="00803DFD">
      <w:pPr>
        <w:pStyle w:val="NoSpacing"/>
      </w:pPr>
    </w:p>
    <w:p w:rsidR="00803DFD" w:rsidRDefault="00803DFD" w:rsidP="00803DFD">
      <w:pPr>
        <w:pStyle w:val="StandardParagraph"/>
      </w:pPr>
      <w:r>
        <w:t>The first assumed scenario should represent no changes to assumptions, which can then be used for comparative purposes with the other scenarios.  Commentary on the details behind each scenario must be provided, along with the switching value of each variable necessary to make each Option have the highest NPV or lowest NPC.</w:t>
      </w:r>
    </w:p>
    <w:p w:rsidR="00803DFD" w:rsidRPr="00AE005B" w:rsidRDefault="00803DFD" w:rsidP="00803DFD">
      <w:pPr>
        <w:pStyle w:val="StandardParagraph"/>
      </w:pPr>
      <w:r>
        <w:t>It is also important to examine how reactive the ranking of options in the non-financial benefits a</w:t>
      </w:r>
      <w:r w:rsidRPr="00AE005B">
        <w:t>ppraisal</w:t>
      </w:r>
      <w:r>
        <w:t xml:space="preserve"> are to changes in weights and scores used.</w:t>
      </w:r>
      <w:r w:rsidRPr="00A362BF">
        <w:t xml:space="preserve"> </w:t>
      </w:r>
      <w:r>
        <w:t xml:space="preserve"> The following are examples of possible s</w:t>
      </w:r>
      <w:r w:rsidRPr="00AE005B">
        <w:t xml:space="preserve">ensitivity </w:t>
      </w:r>
      <w:r>
        <w:t>a</w:t>
      </w:r>
      <w:r w:rsidRPr="00AE005B">
        <w:t xml:space="preserve">nalysis </w:t>
      </w:r>
      <w:r>
        <w:t>testing that could be carried out:</w:t>
      </w:r>
    </w:p>
    <w:p w:rsidR="00803DFD" w:rsidRPr="00AE005B" w:rsidRDefault="00803DFD" w:rsidP="00803DFD">
      <w:pPr>
        <w:pStyle w:val="StandardBullet0"/>
      </w:pPr>
      <w:r w:rsidRPr="00AE005B">
        <w:lastRenderedPageBreak/>
        <w:t>Equal weighting applied to all crite</w:t>
      </w:r>
      <w:r>
        <w:t xml:space="preserve">ria e.g. all </w:t>
      </w:r>
      <w:r w:rsidRPr="00AE005B">
        <w:t xml:space="preserve">criteria were weighted at </w:t>
      </w:r>
      <w:r>
        <w:t>maximum.</w:t>
      </w:r>
    </w:p>
    <w:p w:rsidR="00803DFD" w:rsidRPr="00AE005B" w:rsidRDefault="00803DFD" w:rsidP="00803DFD">
      <w:pPr>
        <w:pStyle w:val="StandardBullet0"/>
      </w:pPr>
      <w:r w:rsidRPr="00AE005B">
        <w:t>Excluding benefit sco</w:t>
      </w:r>
      <w:r>
        <w:t>res for the highest weighted benefit criterion.</w:t>
      </w:r>
    </w:p>
    <w:p w:rsidR="00803DFD" w:rsidRDefault="00803DFD" w:rsidP="00803DFD">
      <w:pPr>
        <w:pStyle w:val="StandardBullet0"/>
      </w:pPr>
      <w:r w:rsidRPr="00AE005B">
        <w:t xml:space="preserve">Altering the scores of the </w:t>
      </w:r>
      <w:r>
        <w:t xml:space="preserve">benefit </w:t>
      </w:r>
      <w:r w:rsidRPr="00AE005B">
        <w:t>criteria with the greatest scoring range</w:t>
      </w:r>
      <w:r>
        <w:t>,</w:t>
      </w:r>
      <w:r w:rsidRPr="00AE005B">
        <w:t xml:space="preserve"> so that all options </w:t>
      </w:r>
      <w:r>
        <w:t>score the same mid-range value for that benefit criterion.</w:t>
      </w:r>
    </w:p>
    <w:p w:rsidR="00803DFD" w:rsidRDefault="00803DFD" w:rsidP="00803DFD">
      <w:pPr>
        <w:pStyle w:val="StandardParagraph"/>
      </w:pPr>
      <w:r>
        <w:t>The results can then be presented in a similar manner to the exemplar table below:</w:t>
      </w:r>
    </w:p>
    <w:tbl>
      <w:tblPr>
        <w:tblW w:w="0" w:type="auto"/>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2233"/>
        <w:gridCol w:w="1170"/>
        <w:gridCol w:w="675"/>
        <w:gridCol w:w="1026"/>
        <w:gridCol w:w="709"/>
        <w:gridCol w:w="1134"/>
        <w:gridCol w:w="708"/>
        <w:gridCol w:w="1106"/>
        <w:gridCol w:w="657"/>
      </w:tblGrid>
      <w:tr w:rsidR="00803DFD" w:rsidRPr="00FA2FC5" w:rsidTr="00803DFD">
        <w:trPr>
          <w:trHeight w:val="438"/>
        </w:trPr>
        <w:tc>
          <w:tcPr>
            <w:tcW w:w="2233" w:type="dxa"/>
            <w:vMerge w:val="restart"/>
            <w:tcBorders>
              <w:top w:val="single" w:sz="18" w:space="0" w:color="auto"/>
            </w:tcBorders>
            <w:shd w:val="clear" w:color="auto" w:fill="31849B" w:themeFill="accent5" w:themeFillShade="BF"/>
            <w:vAlign w:val="center"/>
          </w:tcPr>
          <w:p w:rsidR="00803DFD" w:rsidRDefault="00803DFD" w:rsidP="00803DFD">
            <w:pPr>
              <w:pStyle w:val="StandardParagraphTable"/>
              <w:spacing w:before="120" w:after="120"/>
              <w:contextualSpacing w:val="0"/>
              <w:jc w:val="center"/>
              <w:rPr>
                <w:b/>
                <w:color w:val="FFFFFF" w:themeColor="background1"/>
              </w:rPr>
            </w:pPr>
            <w:r>
              <w:rPr>
                <w:b/>
                <w:color w:val="FFFFFF" w:themeColor="background1"/>
              </w:rPr>
              <w:t>Non-financial benefits</w:t>
            </w:r>
          </w:p>
          <w:p w:rsidR="00803DFD" w:rsidRPr="008453B8" w:rsidRDefault="00803DFD" w:rsidP="00803DFD">
            <w:pPr>
              <w:pStyle w:val="StandardParagraphTable"/>
              <w:spacing w:before="120" w:after="120"/>
              <w:contextualSpacing w:val="0"/>
              <w:jc w:val="center"/>
              <w:rPr>
                <w:b/>
                <w:color w:val="FFFFFF" w:themeColor="background1"/>
              </w:rPr>
            </w:pPr>
            <w:r>
              <w:rPr>
                <w:b/>
                <w:color w:val="FFFFFF" w:themeColor="background1"/>
              </w:rPr>
              <w:t>Sensitivity Scenario</w:t>
            </w:r>
          </w:p>
        </w:tc>
        <w:tc>
          <w:tcPr>
            <w:tcW w:w="1845" w:type="dxa"/>
            <w:gridSpan w:val="2"/>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Option 1</w:t>
            </w:r>
          </w:p>
        </w:tc>
        <w:tc>
          <w:tcPr>
            <w:tcW w:w="1735" w:type="dxa"/>
            <w:gridSpan w:val="2"/>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Option 2</w:t>
            </w:r>
          </w:p>
        </w:tc>
        <w:tc>
          <w:tcPr>
            <w:tcW w:w="1842" w:type="dxa"/>
            <w:gridSpan w:val="2"/>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Option 3</w:t>
            </w:r>
          </w:p>
        </w:tc>
        <w:tc>
          <w:tcPr>
            <w:tcW w:w="1763" w:type="dxa"/>
            <w:gridSpan w:val="2"/>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Option 4</w:t>
            </w:r>
          </w:p>
        </w:tc>
      </w:tr>
      <w:tr w:rsidR="00803DFD" w:rsidRPr="00FA2FC5" w:rsidTr="00803DFD">
        <w:trPr>
          <w:trHeight w:val="438"/>
        </w:trPr>
        <w:tc>
          <w:tcPr>
            <w:tcW w:w="2233" w:type="dxa"/>
            <w:vMerge/>
            <w:tcBorders>
              <w:bottom w:val="single" w:sz="6" w:space="0" w:color="auto"/>
            </w:tcBorders>
            <w:shd w:val="clear" w:color="auto" w:fill="31849B" w:themeFill="accent5" w:themeFillShade="BF"/>
            <w:vAlign w:val="center"/>
          </w:tcPr>
          <w:p w:rsidR="00803DFD" w:rsidRPr="008453B8" w:rsidRDefault="00803DFD" w:rsidP="00803DFD">
            <w:pPr>
              <w:pStyle w:val="StandardParagraphTable"/>
              <w:spacing w:before="120" w:after="120"/>
              <w:contextualSpacing w:val="0"/>
              <w:jc w:val="center"/>
              <w:rPr>
                <w:b/>
                <w:color w:val="FFFFFF" w:themeColor="background1"/>
              </w:rPr>
            </w:pPr>
          </w:p>
        </w:tc>
        <w:tc>
          <w:tcPr>
            <w:tcW w:w="1170"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Pr>
                <w:b/>
                <w:color w:val="FFFFFF" w:themeColor="background1"/>
              </w:rPr>
              <w:t>Weighted Score</w:t>
            </w:r>
          </w:p>
        </w:tc>
        <w:tc>
          <w:tcPr>
            <w:tcW w:w="675"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Pr>
                <w:b/>
                <w:color w:val="FFFFFF" w:themeColor="background1"/>
              </w:rPr>
              <w:t>Rank</w:t>
            </w:r>
          </w:p>
        </w:tc>
        <w:tc>
          <w:tcPr>
            <w:tcW w:w="1026"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Pr>
                <w:b/>
                <w:color w:val="FFFFFF" w:themeColor="background1"/>
              </w:rPr>
              <w:t>Weighted Score</w:t>
            </w:r>
          </w:p>
        </w:tc>
        <w:tc>
          <w:tcPr>
            <w:tcW w:w="709"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Pr>
                <w:b/>
                <w:color w:val="FFFFFF" w:themeColor="background1"/>
              </w:rPr>
              <w:t>Rank</w:t>
            </w:r>
          </w:p>
        </w:tc>
        <w:tc>
          <w:tcPr>
            <w:tcW w:w="1134"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Pr>
                <w:b/>
                <w:color w:val="FFFFFF" w:themeColor="background1"/>
              </w:rPr>
              <w:t>Weighted Score</w:t>
            </w:r>
          </w:p>
        </w:tc>
        <w:tc>
          <w:tcPr>
            <w:tcW w:w="708"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Pr>
                <w:b/>
                <w:color w:val="FFFFFF" w:themeColor="background1"/>
              </w:rPr>
              <w:t>Rank</w:t>
            </w:r>
          </w:p>
        </w:tc>
        <w:tc>
          <w:tcPr>
            <w:tcW w:w="1106"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Pr>
                <w:b/>
                <w:color w:val="FFFFFF" w:themeColor="background1"/>
              </w:rPr>
              <w:t>Weighted Score</w:t>
            </w:r>
          </w:p>
        </w:tc>
        <w:tc>
          <w:tcPr>
            <w:tcW w:w="657"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Pr>
                <w:b/>
                <w:color w:val="FFFFFF" w:themeColor="background1"/>
              </w:rPr>
              <w:t>Rank</w:t>
            </w:r>
          </w:p>
        </w:tc>
      </w:tr>
      <w:tr w:rsidR="00803DFD" w:rsidRPr="00FA2FC5" w:rsidTr="00803DFD">
        <w:trPr>
          <w:trHeight w:val="410"/>
        </w:trPr>
        <w:tc>
          <w:tcPr>
            <w:tcW w:w="2233" w:type="dxa"/>
            <w:tcBorders>
              <w:top w:val="single" w:sz="6" w:space="0" w:color="auto"/>
            </w:tcBorders>
            <w:vAlign w:val="center"/>
          </w:tcPr>
          <w:p w:rsidR="00803DFD" w:rsidRPr="00FA2FC5" w:rsidRDefault="00803DFD" w:rsidP="00803DFD">
            <w:pPr>
              <w:pStyle w:val="StandardParagraphTable"/>
            </w:pPr>
            <w:r>
              <w:t>Scenario 1: no changes</w:t>
            </w:r>
          </w:p>
        </w:tc>
        <w:tc>
          <w:tcPr>
            <w:tcW w:w="1170" w:type="dxa"/>
            <w:tcBorders>
              <w:top w:val="single" w:sz="6" w:space="0" w:color="auto"/>
            </w:tcBorders>
            <w:vAlign w:val="center"/>
          </w:tcPr>
          <w:p w:rsidR="00803DFD" w:rsidRPr="00FA2FC5" w:rsidRDefault="00803DFD" w:rsidP="00803DFD">
            <w:pPr>
              <w:pStyle w:val="StandardParagraphTable"/>
              <w:jc w:val="center"/>
            </w:pPr>
          </w:p>
        </w:tc>
        <w:tc>
          <w:tcPr>
            <w:tcW w:w="675" w:type="dxa"/>
            <w:tcBorders>
              <w:top w:val="single" w:sz="6" w:space="0" w:color="auto"/>
            </w:tcBorders>
            <w:vAlign w:val="center"/>
          </w:tcPr>
          <w:p w:rsidR="00803DFD" w:rsidRPr="00FA2FC5" w:rsidRDefault="00803DFD" w:rsidP="00803DFD">
            <w:pPr>
              <w:pStyle w:val="StandardParagraphTable"/>
              <w:jc w:val="center"/>
            </w:pPr>
          </w:p>
        </w:tc>
        <w:tc>
          <w:tcPr>
            <w:tcW w:w="1026" w:type="dxa"/>
            <w:tcBorders>
              <w:top w:val="single" w:sz="6" w:space="0" w:color="auto"/>
            </w:tcBorders>
            <w:vAlign w:val="center"/>
          </w:tcPr>
          <w:p w:rsidR="00803DFD" w:rsidRPr="00FA2FC5" w:rsidRDefault="00803DFD" w:rsidP="00803DFD">
            <w:pPr>
              <w:pStyle w:val="StandardParagraphTable"/>
              <w:jc w:val="center"/>
            </w:pPr>
          </w:p>
        </w:tc>
        <w:tc>
          <w:tcPr>
            <w:tcW w:w="709" w:type="dxa"/>
            <w:tcBorders>
              <w:top w:val="single" w:sz="6" w:space="0" w:color="auto"/>
            </w:tcBorders>
            <w:vAlign w:val="center"/>
          </w:tcPr>
          <w:p w:rsidR="00803DFD" w:rsidRPr="00FA2FC5" w:rsidRDefault="00803DFD" w:rsidP="00803DFD">
            <w:pPr>
              <w:pStyle w:val="StandardParagraphTable"/>
              <w:jc w:val="center"/>
            </w:pPr>
          </w:p>
        </w:tc>
        <w:tc>
          <w:tcPr>
            <w:tcW w:w="1134" w:type="dxa"/>
            <w:tcBorders>
              <w:top w:val="single" w:sz="6" w:space="0" w:color="auto"/>
            </w:tcBorders>
            <w:vAlign w:val="center"/>
          </w:tcPr>
          <w:p w:rsidR="00803DFD" w:rsidRPr="00FA2FC5" w:rsidRDefault="00803DFD" w:rsidP="00803DFD">
            <w:pPr>
              <w:pStyle w:val="StandardParagraphTable"/>
              <w:jc w:val="center"/>
            </w:pPr>
          </w:p>
        </w:tc>
        <w:tc>
          <w:tcPr>
            <w:tcW w:w="708" w:type="dxa"/>
            <w:tcBorders>
              <w:top w:val="single" w:sz="6" w:space="0" w:color="auto"/>
            </w:tcBorders>
            <w:vAlign w:val="center"/>
          </w:tcPr>
          <w:p w:rsidR="00803DFD" w:rsidRPr="00FA2FC5" w:rsidRDefault="00803DFD" w:rsidP="00803DFD">
            <w:pPr>
              <w:pStyle w:val="StandardParagraphTable"/>
              <w:jc w:val="center"/>
            </w:pPr>
          </w:p>
        </w:tc>
        <w:tc>
          <w:tcPr>
            <w:tcW w:w="1106" w:type="dxa"/>
            <w:tcBorders>
              <w:top w:val="single" w:sz="6" w:space="0" w:color="auto"/>
            </w:tcBorders>
            <w:vAlign w:val="center"/>
          </w:tcPr>
          <w:p w:rsidR="00803DFD" w:rsidRPr="00FA2FC5" w:rsidRDefault="00803DFD" w:rsidP="00803DFD">
            <w:pPr>
              <w:pStyle w:val="StandardParagraphTable"/>
              <w:jc w:val="center"/>
            </w:pPr>
          </w:p>
        </w:tc>
        <w:tc>
          <w:tcPr>
            <w:tcW w:w="657" w:type="dxa"/>
            <w:tcBorders>
              <w:top w:val="single" w:sz="6" w:space="0" w:color="auto"/>
            </w:tcBorders>
            <w:vAlign w:val="center"/>
          </w:tcPr>
          <w:p w:rsidR="00803DFD" w:rsidRPr="00FA2FC5" w:rsidRDefault="00803DFD" w:rsidP="00803DFD">
            <w:pPr>
              <w:pStyle w:val="StandardParagraphTable"/>
              <w:jc w:val="center"/>
            </w:pPr>
          </w:p>
        </w:tc>
      </w:tr>
      <w:tr w:rsidR="00803DFD" w:rsidRPr="00FA2FC5" w:rsidTr="00803DFD">
        <w:trPr>
          <w:trHeight w:val="410"/>
        </w:trPr>
        <w:tc>
          <w:tcPr>
            <w:tcW w:w="2233" w:type="dxa"/>
            <w:vAlign w:val="center"/>
          </w:tcPr>
          <w:p w:rsidR="00803DFD" w:rsidRPr="00FA2FC5" w:rsidRDefault="00803DFD" w:rsidP="00803DFD">
            <w:pPr>
              <w:pStyle w:val="StandardParagraphTable"/>
            </w:pPr>
            <w:r>
              <w:t>Scenario 2: Equal weight</w:t>
            </w:r>
          </w:p>
        </w:tc>
        <w:tc>
          <w:tcPr>
            <w:tcW w:w="1170" w:type="dxa"/>
            <w:vAlign w:val="center"/>
          </w:tcPr>
          <w:p w:rsidR="00803DFD" w:rsidRPr="00FA2FC5" w:rsidRDefault="00803DFD" w:rsidP="00803DFD">
            <w:pPr>
              <w:pStyle w:val="StandardParagraphTable"/>
              <w:jc w:val="center"/>
            </w:pPr>
          </w:p>
        </w:tc>
        <w:tc>
          <w:tcPr>
            <w:tcW w:w="675" w:type="dxa"/>
            <w:vAlign w:val="center"/>
          </w:tcPr>
          <w:p w:rsidR="00803DFD" w:rsidRPr="00FA2FC5" w:rsidRDefault="00803DFD" w:rsidP="00803DFD">
            <w:pPr>
              <w:pStyle w:val="StandardParagraphTable"/>
              <w:jc w:val="center"/>
            </w:pPr>
          </w:p>
        </w:tc>
        <w:tc>
          <w:tcPr>
            <w:tcW w:w="1026" w:type="dxa"/>
            <w:vAlign w:val="center"/>
          </w:tcPr>
          <w:p w:rsidR="00803DFD" w:rsidRPr="00FA2FC5" w:rsidRDefault="00803DFD" w:rsidP="00803DFD">
            <w:pPr>
              <w:pStyle w:val="StandardParagraphTable"/>
              <w:jc w:val="center"/>
            </w:pPr>
          </w:p>
        </w:tc>
        <w:tc>
          <w:tcPr>
            <w:tcW w:w="709" w:type="dxa"/>
            <w:vAlign w:val="center"/>
          </w:tcPr>
          <w:p w:rsidR="00803DFD" w:rsidRPr="00FA2FC5" w:rsidRDefault="00803DFD" w:rsidP="00803DFD">
            <w:pPr>
              <w:pStyle w:val="StandardParagraphTable"/>
              <w:jc w:val="center"/>
            </w:pPr>
          </w:p>
        </w:tc>
        <w:tc>
          <w:tcPr>
            <w:tcW w:w="1134" w:type="dxa"/>
            <w:vAlign w:val="center"/>
          </w:tcPr>
          <w:p w:rsidR="00803DFD" w:rsidRPr="00FA2FC5" w:rsidRDefault="00803DFD" w:rsidP="00803DFD">
            <w:pPr>
              <w:pStyle w:val="StandardParagraphTable"/>
              <w:jc w:val="center"/>
            </w:pPr>
          </w:p>
        </w:tc>
        <w:tc>
          <w:tcPr>
            <w:tcW w:w="708" w:type="dxa"/>
            <w:vAlign w:val="center"/>
          </w:tcPr>
          <w:p w:rsidR="00803DFD" w:rsidRPr="00FA2FC5" w:rsidRDefault="00803DFD" w:rsidP="00803DFD">
            <w:pPr>
              <w:pStyle w:val="StandardParagraphTable"/>
              <w:jc w:val="center"/>
            </w:pPr>
          </w:p>
        </w:tc>
        <w:tc>
          <w:tcPr>
            <w:tcW w:w="1106" w:type="dxa"/>
            <w:vAlign w:val="center"/>
          </w:tcPr>
          <w:p w:rsidR="00803DFD" w:rsidRPr="00FA2FC5" w:rsidRDefault="00803DFD" w:rsidP="00803DFD">
            <w:pPr>
              <w:pStyle w:val="StandardParagraphTable"/>
              <w:jc w:val="center"/>
            </w:pPr>
          </w:p>
        </w:tc>
        <w:tc>
          <w:tcPr>
            <w:tcW w:w="657" w:type="dxa"/>
            <w:vAlign w:val="center"/>
          </w:tcPr>
          <w:p w:rsidR="00803DFD" w:rsidRPr="00FA2FC5" w:rsidRDefault="00803DFD" w:rsidP="00803DFD">
            <w:pPr>
              <w:pStyle w:val="StandardParagraphTable"/>
              <w:jc w:val="center"/>
            </w:pPr>
          </w:p>
        </w:tc>
      </w:tr>
      <w:tr w:rsidR="00803DFD" w:rsidRPr="00FA2FC5" w:rsidTr="00803DFD">
        <w:trPr>
          <w:trHeight w:val="410"/>
        </w:trPr>
        <w:tc>
          <w:tcPr>
            <w:tcW w:w="2233" w:type="dxa"/>
            <w:vAlign w:val="center"/>
          </w:tcPr>
          <w:p w:rsidR="00803DFD" w:rsidRPr="00FA2FC5" w:rsidRDefault="00803DFD" w:rsidP="00803DFD">
            <w:pPr>
              <w:pStyle w:val="StandardParagraphTable"/>
            </w:pPr>
            <w:r>
              <w:t>Scenario 3: Exclude top rank score</w:t>
            </w:r>
          </w:p>
        </w:tc>
        <w:tc>
          <w:tcPr>
            <w:tcW w:w="1170" w:type="dxa"/>
            <w:vAlign w:val="center"/>
          </w:tcPr>
          <w:p w:rsidR="00803DFD" w:rsidRPr="00FA2FC5" w:rsidRDefault="00803DFD" w:rsidP="00803DFD">
            <w:pPr>
              <w:pStyle w:val="StandardParagraphTable"/>
              <w:jc w:val="center"/>
            </w:pPr>
          </w:p>
        </w:tc>
        <w:tc>
          <w:tcPr>
            <w:tcW w:w="675" w:type="dxa"/>
            <w:vAlign w:val="center"/>
          </w:tcPr>
          <w:p w:rsidR="00803DFD" w:rsidRPr="00FA2FC5" w:rsidRDefault="00803DFD" w:rsidP="00803DFD">
            <w:pPr>
              <w:pStyle w:val="StandardParagraphTable"/>
              <w:jc w:val="center"/>
            </w:pPr>
          </w:p>
        </w:tc>
        <w:tc>
          <w:tcPr>
            <w:tcW w:w="1026" w:type="dxa"/>
            <w:vAlign w:val="center"/>
          </w:tcPr>
          <w:p w:rsidR="00803DFD" w:rsidRPr="00FA2FC5" w:rsidRDefault="00803DFD" w:rsidP="00803DFD">
            <w:pPr>
              <w:pStyle w:val="StandardParagraphTable"/>
              <w:jc w:val="center"/>
            </w:pPr>
          </w:p>
        </w:tc>
        <w:tc>
          <w:tcPr>
            <w:tcW w:w="709" w:type="dxa"/>
            <w:vAlign w:val="center"/>
          </w:tcPr>
          <w:p w:rsidR="00803DFD" w:rsidRPr="00FA2FC5" w:rsidRDefault="00803DFD" w:rsidP="00803DFD">
            <w:pPr>
              <w:pStyle w:val="StandardParagraphTable"/>
              <w:jc w:val="center"/>
            </w:pPr>
          </w:p>
        </w:tc>
        <w:tc>
          <w:tcPr>
            <w:tcW w:w="1134" w:type="dxa"/>
            <w:vAlign w:val="center"/>
          </w:tcPr>
          <w:p w:rsidR="00803DFD" w:rsidRPr="00FA2FC5" w:rsidRDefault="00803DFD" w:rsidP="00803DFD">
            <w:pPr>
              <w:pStyle w:val="StandardParagraphTable"/>
              <w:jc w:val="center"/>
            </w:pPr>
          </w:p>
        </w:tc>
        <w:tc>
          <w:tcPr>
            <w:tcW w:w="708" w:type="dxa"/>
            <w:vAlign w:val="center"/>
          </w:tcPr>
          <w:p w:rsidR="00803DFD" w:rsidRPr="00FA2FC5" w:rsidRDefault="00803DFD" w:rsidP="00803DFD">
            <w:pPr>
              <w:pStyle w:val="StandardParagraphTable"/>
              <w:jc w:val="center"/>
            </w:pPr>
          </w:p>
        </w:tc>
        <w:tc>
          <w:tcPr>
            <w:tcW w:w="1106" w:type="dxa"/>
            <w:vAlign w:val="center"/>
          </w:tcPr>
          <w:p w:rsidR="00803DFD" w:rsidRPr="00FA2FC5" w:rsidRDefault="00803DFD" w:rsidP="00803DFD">
            <w:pPr>
              <w:pStyle w:val="StandardParagraphTable"/>
              <w:jc w:val="center"/>
            </w:pPr>
          </w:p>
        </w:tc>
        <w:tc>
          <w:tcPr>
            <w:tcW w:w="657" w:type="dxa"/>
            <w:vAlign w:val="center"/>
          </w:tcPr>
          <w:p w:rsidR="00803DFD" w:rsidRPr="00FA2FC5" w:rsidRDefault="00803DFD" w:rsidP="00803DFD">
            <w:pPr>
              <w:pStyle w:val="StandardParagraphTable"/>
              <w:jc w:val="center"/>
            </w:pPr>
          </w:p>
        </w:tc>
      </w:tr>
      <w:tr w:rsidR="00803DFD" w:rsidRPr="00FA2FC5" w:rsidTr="00803DFD">
        <w:trPr>
          <w:trHeight w:val="410"/>
        </w:trPr>
        <w:tc>
          <w:tcPr>
            <w:tcW w:w="2233" w:type="dxa"/>
            <w:vAlign w:val="center"/>
          </w:tcPr>
          <w:p w:rsidR="00803DFD" w:rsidRPr="00ED7E88" w:rsidRDefault="00803DFD" w:rsidP="00803DFD">
            <w:pPr>
              <w:pStyle w:val="StandardParagraphTable"/>
            </w:pPr>
            <w:r>
              <w:t>Scenario 4</w:t>
            </w:r>
            <w:r w:rsidRPr="00ED7E88">
              <w:t>:</w:t>
            </w:r>
            <w:r>
              <w:t xml:space="preserve"> Mid-range</w:t>
            </w:r>
          </w:p>
        </w:tc>
        <w:tc>
          <w:tcPr>
            <w:tcW w:w="1170" w:type="dxa"/>
            <w:vAlign w:val="center"/>
          </w:tcPr>
          <w:p w:rsidR="00803DFD" w:rsidRPr="00ED7E88" w:rsidRDefault="00803DFD" w:rsidP="00803DFD">
            <w:pPr>
              <w:pStyle w:val="StandardParagraphTable"/>
              <w:jc w:val="center"/>
            </w:pPr>
          </w:p>
        </w:tc>
        <w:tc>
          <w:tcPr>
            <w:tcW w:w="675" w:type="dxa"/>
            <w:vAlign w:val="center"/>
          </w:tcPr>
          <w:p w:rsidR="00803DFD" w:rsidRPr="00ED7E88" w:rsidRDefault="00803DFD" w:rsidP="00803DFD">
            <w:pPr>
              <w:pStyle w:val="StandardParagraphTable"/>
              <w:jc w:val="center"/>
            </w:pPr>
          </w:p>
        </w:tc>
        <w:tc>
          <w:tcPr>
            <w:tcW w:w="1026" w:type="dxa"/>
            <w:vAlign w:val="center"/>
          </w:tcPr>
          <w:p w:rsidR="00803DFD" w:rsidRPr="00ED7E88" w:rsidRDefault="00803DFD" w:rsidP="00803DFD">
            <w:pPr>
              <w:pStyle w:val="StandardParagraphTable"/>
              <w:jc w:val="center"/>
            </w:pPr>
          </w:p>
        </w:tc>
        <w:tc>
          <w:tcPr>
            <w:tcW w:w="709" w:type="dxa"/>
            <w:vAlign w:val="center"/>
          </w:tcPr>
          <w:p w:rsidR="00803DFD" w:rsidRPr="00ED7E88" w:rsidRDefault="00803DFD" w:rsidP="00803DFD">
            <w:pPr>
              <w:pStyle w:val="StandardParagraphTable"/>
              <w:jc w:val="center"/>
            </w:pPr>
          </w:p>
        </w:tc>
        <w:tc>
          <w:tcPr>
            <w:tcW w:w="1134" w:type="dxa"/>
            <w:vAlign w:val="center"/>
          </w:tcPr>
          <w:p w:rsidR="00803DFD" w:rsidRPr="00ED7E88" w:rsidRDefault="00803DFD" w:rsidP="00803DFD">
            <w:pPr>
              <w:pStyle w:val="StandardParagraphTable"/>
              <w:jc w:val="center"/>
            </w:pPr>
          </w:p>
        </w:tc>
        <w:tc>
          <w:tcPr>
            <w:tcW w:w="708" w:type="dxa"/>
            <w:vAlign w:val="center"/>
          </w:tcPr>
          <w:p w:rsidR="00803DFD" w:rsidRPr="00ED7E88" w:rsidRDefault="00803DFD" w:rsidP="00803DFD">
            <w:pPr>
              <w:pStyle w:val="StandardParagraphTable"/>
              <w:jc w:val="center"/>
            </w:pPr>
          </w:p>
        </w:tc>
        <w:tc>
          <w:tcPr>
            <w:tcW w:w="1106" w:type="dxa"/>
            <w:vAlign w:val="center"/>
          </w:tcPr>
          <w:p w:rsidR="00803DFD" w:rsidRPr="00ED7E88" w:rsidRDefault="00803DFD" w:rsidP="00803DFD">
            <w:pPr>
              <w:pStyle w:val="StandardParagraphTable"/>
              <w:jc w:val="center"/>
            </w:pPr>
          </w:p>
        </w:tc>
        <w:tc>
          <w:tcPr>
            <w:tcW w:w="657" w:type="dxa"/>
            <w:vAlign w:val="center"/>
          </w:tcPr>
          <w:p w:rsidR="00803DFD" w:rsidRPr="00ED7E88" w:rsidRDefault="00803DFD" w:rsidP="00803DFD">
            <w:pPr>
              <w:pStyle w:val="StandardParagraphTable"/>
              <w:jc w:val="center"/>
            </w:pPr>
          </w:p>
        </w:tc>
      </w:tr>
    </w:tbl>
    <w:p w:rsidR="00803DFD" w:rsidRDefault="00803DFD" w:rsidP="00803DFD">
      <w:pPr>
        <w:pStyle w:val="NoSpacing"/>
      </w:pPr>
    </w:p>
    <w:p w:rsidR="00803DFD" w:rsidRDefault="00803DFD" w:rsidP="00803DFD">
      <w:pPr>
        <w:pStyle w:val="StandardParagraph"/>
      </w:pPr>
      <w:r>
        <w:t xml:space="preserve">The first scenario should represent no changes to assumptions, which can then be used for comparative purposes with the other scenarios.  Commentary on the findings from this sensitivity testing should be provided. </w:t>
      </w:r>
    </w:p>
    <w:p w:rsidR="00803DFD" w:rsidRDefault="00803DFD" w:rsidP="00803DFD">
      <w:pPr>
        <w:pStyle w:val="Heading2"/>
      </w:pPr>
      <w:r>
        <w:t>Identifying the Preferred Option</w:t>
      </w:r>
    </w:p>
    <w:p w:rsidR="00803DFD" w:rsidRDefault="00803DFD" w:rsidP="00803DFD">
      <w:pPr>
        <w:pStyle w:val="StandardParagraph"/>
      </w:pPr>
      <w:r>
        <w:t>The purpose of this section will be to present the case for the selection of a preferred option.  It will begin by merging the results of NPV / NPC and non-financial benefits to identify the cost per benefit point of each option.  This can be set out in the following table:</w:t>
      </w:r>
    </w:p>
    <w:tbl>
      <w:tblPr>
        <w:tblW w:w="0" w:type="auto"/>
        <w:tblInd w:w="-17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2411"/>
        <w:gridCol w:w="1718"/>
        <w:gridCol w:w="1718"/>
        <w:gridCol w:w="1718"/>
        <w:gridCol w:w="1719"/>
      </w:tblGrid>
      <w:tr w:rsidR="00803DFD" w:rsidRPr="00FA2FC5" w:rsidTr="00803DFD">
        <w:trPr>
          <w:trHeight w:val="438"/>
        </w:trPr>
        <w:tc>
          <w:tcPr>
            <w:tcW w:w="2411"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spacing w:before="120" w:after="120"/>
              <w:contextualSpacing w:val="0"/>
              <w:jc w:val="center"/>
              <w:rPr>
                <w:b/>
                <w:color w:val="FFFFFF" w:themeColor="background1"/>
              </w:rPr>
            </w:pPr>
          </w:p>
        </w:tc>
        <w:tc>
          <w:tcPr>
            <w:tcW w:w="1718"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spacing w:before="120" w:after="120"/>
              <w:contextualSpacing w:val="0"/>
              <w:jc w:val="center"/>
              <w:rPr>
                <w:b/>
                <w:color w:val="FFFFFF" w:themeColor="background1"/>
              </w:rPr>
            </w:pPr>
            <w:r w:rsidRPr="008453B8">
              <w:rPr>
                <w:b/>
                <w:color w:val="FFFFFF" w:themeColor="background1"/>
              </w:rPr>
              <w:t>Option 1</w:t>
            </w:r>
          </w:p>
        </w:tc>
        <w:tc>
          <w:tcPr>
            <w:tcW w:w="1718"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spacing w:before="120" w:after="120"/>
              <w:contextualSpacing w:val="0"/>
              <w:jc w:val="center"/>
              <w:rPr>
                <w:b/>
                <w:color w:val="FFFFFF" w:themeColor="background1"/>
              </w:rPr>
            </w:pPr>
            <w:r w:rsidRPr="008453B8">
              <w:rPr>
                <w:b/>
                <w:color w:val="FFFFFF" w:themeColor="background1"/>
              </w:rPr>
              <w:t>Option 2</w:t>
            </w:r>
          </w:p>
        </w:tc>
        <w:tc>
          <w:tcPr>
            <w:tcW w:w="1718"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spacing w:before="120" w:after="120"/>
              <w:contextualSpacing w:val="0"/>
              <w:jc w:val="center"/>
              <w:rPr>
                <w:b/>
                <w:color w:val="FFFFFF" w:themeColor="background1"/>
              </w:rPr>
            </w:pPr>
            <w:r w:rsidRPr="008453B8">
              <w:rPr>
                <w:b/>
                <w:color w:val="FFFFFF" w:themeColor="background1"/>
              </w:rPr>
              <w:t>Option 3</w:t>
            </w:r>
          </w:p>
        </w:tc>
        <w:tc>
          <w:tcPr>
            <w:tcW w:w="1719"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spacing w:before="120" w:after="120"/>
              <w:contextualSpacing w:val="0"/>
              <w:jc w:val="center"/>
              <w:rPr>
                <w:b/>
                <w:color w:val="FFFFFF" w:themeColor="background1"/>
              </w:rPr>
            </w:pPr>
            <w:r w:rsidRPr="008453B8">
              <w:rPr>
                <w:b/>
                <w:color w:val="FFFFFF" w:themeColor="background1"/>
              </w:rPr>
              <w:t>Option 4</w:t>
            </w:r>
          </w:p>
        </w:tc>
      </w:tr>
      <w:tr w:rsidR="00803DFD" w:rsidRPr="00FA2FC5" w:rsidTr="00803DFD">
        <w:trPr>
          <w:trHeight w:val="410"/>
        </w:trPr>
        <w:tc>
          <w:tcPr>
            <w:tcW w:w="2411" w:type="dxa"/>
            <w:vAlign w:val="center"/>
          </w:tcPr>
          <w:p w:rsidR="00803DFD" w:rsidRPr="00FA2FC5" w:rsidRDefault="00803DFD" w:rsidP="00803DFD">
            <w:pPr>
              <w:pStyle w:val="StandardParagraphTable"/>
            </w:pPr>
            <w:r>
              <w:t>Net Present Cost (£’000’s) per weighted benefit score</w:t>
            </w: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8" w:type="dxa"/>
            <w:vAlign w:val="center"/>
          </w:tcPr>
          <w:p w:rsidR="00803DFD" w:rsidRPr="00FA2FC5" w:rsidRDefault="00803DFD" w:rsidP="00803DFD">
            <w:pPr>
              <w:pStyle w:val="StandardParagraphTable"/>
              <w:jc w:val="center"/>
            </w:pPr>
          </w:p>
        </w:tc>
        <w:tc>
          <w:tcPr>
            <w:tcW w:w="1719" w:type="dxa"/>
            <w:vAlign w:val="center"/>
          </w:tcPr>
          <w:p w:rsidR="00803DFD" w:rsidRPr="00FA2FC5" w:rsidRDefault="00803DFD" w:rsidP="00803DFD">
            <w:pPr>
              <w:pStyle w:val="StandardParagraphTable"/>
              <w:jc w:val="center"/>
            </w:pPr>
          </w:p>
        </w:tc>
      </w:tr>
    </w:tbl>
    <w:p w:rsidR="00803DFD" w:rsidRDefault="00803DFD" w:rsidP="00803DFD">
      <w:pPr>
        <w:pStyle w:val="NoSpacing"/>
      </w:pPr>
    </w:p>
    <w:p w:rsidR="00803DFD" w:rsidRDefault="00803DFD" w:rsidP="00803DFD">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t>The differential between these results will need to be explained.</w:t>
      </w:r>
    </w:p>
    <w:p w:rsidR="007C16B4" w:rsidRDefault="007C16B4">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cs="Arial"/>
        </w:rPr>
      </w:pPr>
      <w:r>
        <w:rPr>
          <w:rFonts w:cs="Arial"/>
        </w:rPr>
        <w:br w:type="page"/>
      </w:r>
    </w:p>
    <w:p w:rsidR="00803DFD" w:rsidRPr="00065CEC" w:rsidRDefault="00803DFD" w:rsidP="00803DFD">
      <w:pPr>
        <w:rPr>
          <w:rFonts w:cs="Arial"/>
        </w:rPr>
      </w:pPr>
      <w:r>
        <w:rPr>
          <w:rFonts w:cs="Arial"/>
        </w:rPr>
        <w:lastRenderedPageBreak/>
        <w:t>A summary of the results of all the evaluation criteria of the economic and risk appraisals should be presented together.  The following table can be included to demonstrate the results:</w:t>
      </w:r>
    </w:p>
    <w:tbl>
      <w:tblPr>
        <w:tblW w:w="7938"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127"/>
        <w:gridCol w:w="1452"/>
        <w:gridCol w:w="1453"/>
        <w:gridCol w:w="1453"/>
        <w:gridCol w:w="1453"/>
      </w:tblGrid>
      <w:tr w:rsidR="00803DFD" w:rsidRPr="00FA2FC5" w:rsidTr="00803DFD">
        <w:trPr>
          <w:trHeight w:val="438"/>
        </w:trPr>
        <w:tc>
          <w:tcPr>
            <w:tcW w:w="2127" w:type="dxa"/>
            <w:vMerge w:val="restart"/>
            <w:tcBorders>
              <w:top w:val="single" w:sz="18" w:space="0" w:color="auto"/>
            </w:tcBorders>
            <w:shd w:val="clear" w:color="auto" w:fill="31849B" w:themeFill="accent5" w:themeFillShade="BF"/>
            <w:vAlign w:val="center"/>
          </w:tcPr>
          <w:p w:rsidR="00803DFD" w:rsidRDefault="00803DFD" w:rsidP="00803DFD">
            <w:pPr>
              <w:pStyle w:val="StandardParagraphTable"/>
              <w:spacing w:before="120" w:after="120"/>
              <w:contextualSpacing w:val="0"/>
              <w:jc w:val="center"/>
              <w:rPr>
                <w:b/>
                <w:color w:val="FFFFFF" w:themeColor="background1"/>
              </w:rPr>
            </w:pPr>
            <w:r>
              <w:rPr>
                <w:b/>
                <w:color w:val="FFFFFF" w:themeColor="background1"/>
              </w:rPr>
              <w:t xml:space="preserve">Evaluation Results </w:t>
            </w:r>
          </w:p>
          <w:p w:rsidR="00803DFD" w:rsidRPr="008453B8" w:rsidRDefault="00803DFD" w:rsidP="00803DFD">
            <w:pPr>
              <w:pStyle w:val="StandardParagraphTable"/>
              <w:spacing w:before="120" w:after="120"/>
              <w:contextualSpacing w:val="0"/>
              <w:jc w:val="center"/>
              <w:rPr>
                <w:b/>
                <w:color w:val="FFFFFF" w:themeColor="background1"/>
              </w:rPr>
            </w:pPr>
            <w:r>
              <w:rPr>
                <w:b/>
                <w:color w:val="FFFFFF" w:themeColor="background1"/>
              </w:rPr>
              <w:t>(out of 100)</w:t>
            </w:r>
          </w:p>
        </w:tc>
        <w:tc>
          <w:tcPr>
            <w:tcW w:w="1452"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Option 1</w:t>
            </w:r>
          </w:p>
        </w:tc>
        <w:tc>
          <w:tcPr>
            <w:tcW w:w="1453"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Option 2</w:t>
            </w:r>
          </w:p>
        </w:tc>
        <w:tc>
          <w:tcPr>
            <w:tcW w:w="1453"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Option 3</w:t>
            </w:r>
          </w:p>
        </w:tc>
        <w:tc>
          <w:tcPr>
            <w:tcW w:w="1453" w:type="dxa"/>
            <w:tcBorders>
              <w:top w:val="single" w:sz="18"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sidRPr="008453B8">
              <w:rPr>
                <w:b/>
                <w:color w:val="FFFFFF" w:themeColor="background1"/>
              </w:rPr>
              <w:t>Option 4</w:t>
            </w:r>
          </w:p>
        </w:tc>
      </w:tr>
      <w:tr w:rsidR="00803DFD" w:rsidRPr="00FA2FC5" w:rsidTr="00803DFD">
        <w:trPr>
          <w:trHeight w:val="438"/>
        </w:trPr>
        <w:tc>
          <w:tcPr>
            <w:tcW w:w="2127" w:type="dxa"/>
            <w:vMerge/>
            <w:tcBorders>
              <w:bottom w:val="single" w:sz="6" w:space="0" w:color="auto"/>
            </w:tcBorders>
            <w:shd w:val="clear" w:color="auto" w:fill="31849B" w:themeFill="accent5" w:themeFillShade="BF"/>
            <w:vAlign w:val="center"/>
          </w:tcPr>
          <w:p w:rsidR="00803DFD" w:rsidRPr="008453B8" w:rsidRDefault="00803DFD" w:rsidP="00803DFD">
            <w:pPr>
              <w:pStyle w:val="StandardParagraphTable"/>
              <w:spacing w:before="120" w:after="120"/>
              <w:contextualSpacing w:val="0"/>
              <w:jc w:val="center"/>
              <w:rPr>
                <w:b/>
                <w:color w:val="FFFFFF" w:themeColor="background1"/>
              </w:rPr>
            </w:pPr>
          </w:p>
        </w:tc>
        <w:tc>
          <w:tcPr>
            <w:tcW w:w="1452"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Pr>
                <w:b/>
                <w:color w:val="FFFFFF" w:themeColor="background1"/>
              </w:rPr>
              <w:t>Rank</w:t>
            </w:r>
          </w:p>
        </w:tc>
        <w:tc>
          <w:tcPr>
            <w:tcW w:w="1453"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Pr>
                <w:b/>
                <w:color w:val="FFFFFF" w:themeColor="background1"/>
              </w:rPr>
              <w:t>Rank</w:t>
            </w:r>
          </w:p>
        </w:tc>
        <w:tc>
          <w:tcPr>
            <w:tcW w:w="1453"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Pr>
                <w:b/>
                <w:color w:val="FFFFFF" w:themeColor="background1"/>
              </w:rPr>
              <w:t>Rank</w:t>
            </w:r>
          </w:p>
        </w:tc>
        <w:tc>
          <w:tcPr>
            <w:tcW w:w="1453" w:type="dxa"/>
            <w:tcBorders>
              <w:top w:val="single" w:sz="6" w:space="0" w:color="auto"/>
              <w:bottom w:val="single" w:sz="6" w:space="0" w:color="auto"/>
            </w:tcBorders>
            <w:shd w:val="clear" w:color="auto" w:fill="31849B" w:themeFill="accent5" w:themeFillShade="BF"/>
            <w:vAlign w:val="center"/>
          </w:tcPr>
          <w:p w:rsidR="00803DFD" w:rsidRPr="008453B8" w:rsidRDefault="00803DFD" w:rsidP="00803DFD">
            <w:pPr>
              <w:pStyle w:val="StandardParagraphTable"/>
              <w:jc w:val="center"/>
              <w:rPr>
                <w:b/>
                <w:color w:val="FFFFFF" w:themeColor="background1"/>
              </w:rPr>
            </w:pPr>
            <w:r>
              <w:rPr>
                <w:b/>
                <w:color w:val="FFFFFF" w:themeColor="background1"/>
              </w:rPr>
              <w:t>Rank</w:t>
            </w:r>
          </w:p>
        </w:tc>
      </w:tr>
      <w:tr w:rsidR="00803DFD" w:rsidRPr="00FA2FC5" w:rsidTr="00803DFD">
        <w:trPr>
          <w:trHeight w:val="410"/>
        </w:trPr>
        <w:tc>
          <w:tcPr>
            <w:tcW w:w="2127" w:type="dxa"/>
            <w:tcBorders>
              <w:top w:val="single" w:sz="6" w:space="0" w:color="auto"/>
            </w:tcBorders>
            <w:vAlign w:val="center"/>
          </w:tcPr>
          <w:p w:rsidR="00803DFD" w:rsidRPr="00FA2FC5" w:rsidRDefault="00803DFD" w:rsidP="00803DFD">
            <w:pPr>
              <w:pStyle w:val="StandardParagraphTable"/>
            </w:pPr>
            <w:r>
              <w:t>Economic Appraisal</w:t>
            </w:r>
          </w:p>
        </w:tc>
        <w:tc>
          <w:tcPr>
            <w:tcW w:w="1452" w:type="dxa"/>
            <w:tcBorders>
              <w:top w:val="single" w:sz="6" w:space="0" w:color="auto"/>
            </w:tcBorders>
            <w:vAlign w:val="center"/>
          </w:tcPr>
          <w:p w:rsidR="00803DFD" w:rsidRPr="00FA2FC5" w:rsidRDefault="00803DFD" w:rsidP="00803DFD">
            <w:pPr>
              <w:pStyle w:val="StandardParagraphTable"/>
              <w:jc w:val="center"/>
            </w:pPr>
          </w:p>
        </w:tc>
        <w:tc>
          <w:tcPr>
            <w:tcW w:w="1453" w:type="dxa"/>
            <w:tcBorders>
              <w:top w:val="single" w:sz="6" w:space="0" w:color="auto"/>
            </w:tcBorders>
            <w:vAlign w:val="center"/>
          </w:tcPr>
          <w:p w:rsidR="00803DFD" w:rsidRPr="00FA2FC5" w:rsidRDefault="00803DFD" w:rsidP="00803DFD">
            <w:pPr>
              <w:pStyle w:val="StandardParagraphTable"/>
              <w:jc w:val="center"/>
            </w:pPr>
          </w:p>
        </w:tc>
        <w:tc>
          <w:tcPr>
            <w:tcW w:w="1453" w:type="dxa"/>
            <w:tcBorders>
              <w:top w:val="single" w:sz="6" w:space="0" w:color="auto"/>
            </w:tcBorders>
            <w:vAlign w:val="center"/>
          </w:tcPr>
          <w:p w:rsidR="00803DFD" w:rsidRPr="00FA2FC5" w:rsidRDefault="00803DFD" w:rsidP="00803DFD">
            <w:pPr>
              <w:pStyle w:val="StandardParagraphTable"/>
              <w:jc w:val="center"/>
            </w:pPr>
          </w:p>
        </w:tc>
        <w:tc>
          <w:tcPr>
            <w:tcW w:w="1453" w:type="dxa"/>
            <w:tcBorders>
              <w:top w:val="single" w:sz="6" w:space="0" w:color="auto"/>
            </w:tcBorders>
            <w:vAlign w:val="center"/>
          </w:tcPr>
          <w:p w:rsidR="00803DFD" w:rsidRPr="00FA2FC5" w:rsidRDefault="00803DFD" w:rsidP="00803DFD">
            <w:pPr>
              <w:pStyle w:val="StandardParagraphTable"/>
              <w:jc w:val="center"/>
            </w:pPr>
          </w:p>
        </w:tc>
      </w:tr>
      <w:tr w:rsidR="00803DFD" w:rsidRPr="00FA2FC5" w:rsidTr="00803DFD">
        <w:trPr>
          <w:trHeight w:val="410"/>
        </w:trPr>
        <w:tc>
          <w:tcPr>
            <w:tcW w:w="2127" w:type="dxa"/>
            <w:vAlign w:val="center"/>
          </w:tcPr>
          <w:p w:rsidR="00803DFD" w:rsidRPr="00FA2FC5" w:rsidRDefault="00803DFD" w:rsidP="00803DFD">
            <w:pPr>
              <w:pStyle w:val="StandardParagraphTable"/>
            </w:pPr>
            <w:r>
              <w:t>Risk Appraisal</w:t>
            </w:r>
          </w:p>
        </w:tc>
        <w:tc>
          <w:tcPr>
            <w:tcW w:w="1452" w:type="dxa"/>
            <w:vAlign w:val="center"/>
          </w:tcPr>
          <w:p w:rsidR="00803DFD" w:rsidRPr="00FA2FC5" w:rsidRDefault="00803DFD" w:rsidP="00803DFD">
            <w:pPr>
              <w:pStyle w:val="StandardParagraphTable"/>
              <w:jc w:val="center"/>
            </w:pPr>
          </w:p>
        </w:tc>
        <w:tc>
          <w:tcPr>
            <w:tcW w:w="1453" w:type="dxa"/>
            <w:vAlign w:val="center"/>
          </w:tcPr>
          <w:p w:rsidR="00803DFD" w:rsidRPr="00FA2FC5" w:rsidRDefault="00803DFD" w:rsidP="00803DFD">
            <w:pPr>
              <w:pStyle w:val="StandardParagraphTable"/>
              <w:jc w:val="center"/>
            </w:pPr>
          </w:p>
        </w:tc>
        <w:tc>
          <w:tcPr>
            <w:tcW w:w="1453" w:type="dxa"/>
            <w:vAlign w:val="center"/>
          </w:tcPr>
          <w:p w:rsidR="00803DFD" w:rsidRPr="00FA2FC5" w:rsidRDefault="00803DFD" w:rsidP="00803DFD">
            <w:pPr>
              <w:pStyle w:val="StandardParagraphTable"/>
              <w:jc w:val="center"/>
            </w:pPr>
          </w:p>
        </w:tc>
        <w:tc>
          <w:tcPr>
            <w:tcW w:w="1453" w:type="dxa"/>
            <w:vAlign w:val="center"/>
          </w:tcPr>
          <w:p w:rsidR="00803DFD" w:rsidRPr="00FA2FC5" w:rsidRDefault="00803DFD" w:rsidP="00803DFD">
            <w:pPr>
              <w:pStyle w:val="StandardParagraphTable"/>
              <w:jc w:val="center"/>
            </w:pPr>
          </w:p>
        </w:tc>
      </w:tr>
    </w:tbl>
    <w:p w:rsidR="00803DFD" w:rsidRDefault="00803DFD" w:rsidP="00803DFD">
      <w:pPr>
        <w:pStyle w:val="NoSpacing"/>
      </w:pPr>
    </w:p>
    <w:bookmarkEnd w:id="6"/>
    <w:p w:rsidR="00803DFD" w:rsidRDefault="00803DFD" w:rsidP="00803DFD">
      <w:pPr>
        <w:pStyle w:val="StandardParagraph"/>
      </w:pPr>
      <w:r>
        <w:t>The overall ranking will be based on a judgement of the comparative difference between the cost per benefit point of each option and risk. This should be supported by summary information on the previous sensitivity analysis exercise carried out to demonstrate how non-reactive these results are to changes in underlying assumptions.</w:t>
      </w:r>
    </w:p>
    <w:p w:rsidR="00FF7C7F" w:rsidRDefault="00803DFD" w:rsidP="00803DFD">
      <w:pPr>
        <w:pStyle w:val="StandardParagraph"/>
      </w:pPr>
      <w:r>
        <w:t xml:space="preserve">Boards </w:t>
      </w:r>
      <w:r w:rsidR="00FF7C7F">
        <w:t>should consider the use of the SFT Whole Life Appraisal Tool dashboard to more clearly present the outputs of the economic appraisal for the project.</w:t>
      </w:r>
    </w:p>
    <w:p w:rsidR="00803DFD" w:rsidRDefault="00803DFD" w:rsidP="00803DFD">
      <w:pPr>
        <w:pStyle w:val="StandardParagraph"/>
      </w:pPr>
      <w:r>
        <w:rPr>
          <w:rFonts w:ascii="Calibri" w:hAnsi="Calibri"/>
          <w:sz w:val="22"/>
          <w:szCs w:val="22"/>
        </w:rPr>
        <w:t> </w:t>
      </w:r>
      <w:r>
        <w:t>A sta</w:t>
      </w:r>
      <w:r w:rsidR="003863F9">
        <w:t>tement should then be made</w:t>
      </w:r>
      <w:r>
        <w:t xml:space="preserve"> on the reasons behind the recommendation of a preferred option including a summary of the benefits that this option will provide when compared against the existing arrangements.</w:t>
      </w:r>
    </w:p>
    <w:p w:rsidR="00803DFD" w:rsidRDefault="00803DFD" w:rsidP="00803DFD">
      <w:pPr>
        <w:pStyle w:val="StandardParagraph"/>
      </w:pPr>
      <w:r>
        <w:t>Note: the above is intended as an indicative approach to presenting the outcome of the Economic Appraisal and is not meant to be so prescriptive as to hinder a more appropriate presentation for a specific project.</w:t>
      </w:r>
    </w:p>
    <w:p w:rsidR="00803DFD" w:rsidRDefault="00803DFD" w:rsidP="00803DFD">
      <w:pPr>
        <w:pStyle w:val="Standardparagraph0"/>
      </w:pPr>
    </w:p>
    <w:bookmarkEnd w:id="5"/>
    <w:p w:rsidR="00756D2F" w:rsidRPr="008F7C9C" w:rsidRDefault="00756D2F" w:rsidP="00756D2F">
      <w:pPr>
        <w:pStyle w:val="StandardParagraph"/>
      </w:pPr>
    </w:p>
    <w:p w:rsidR="00DA3F75" w:rsidRDefault="00DA3F7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sectPr w:rsidR="00DA3F75" w:rsidSect="00533537">
          <w:footerReference w:type="default" r:id="rId14"/>
          <w:pgSz w:w="11906" w:h="16838"/>
          <w:pgMar w:top="1588" w:right="1440" w:bottom="1276" w:left="1440" w:header="709" w:footer="799" w:gutter="0"/>
          <w:cols w:space="708"/>
          <w:docGrid w:linePitch="360"/>
        </w:sectPr>
      </w:pPr>
    </w:p>
    <w:p w:rsidR="00F92FF9" w:rsidRDefault="00F92FF9" w:rsidP="00F92FF9">
      <w:pPr>
        <w:pStyle w:val="SectionHeading"/>
      </w:pPr>
      <w:bookmarkStart w:id="7" w:name="_Toc463443355"/>
      <w:bookmarkStart w:id="8" w:name="_Toc460408653"/>
      <w:r>
        <w:lastRenderedPageBreak/>
        <w:t>COMMERCIAL CASE</w:t>
      </w:r>
      <w:bookmarkEnd w:id="7"/>
    </w:p>
    <w:p w:rsidR="00DA3F75" w:rsidRDefault="00F92FF9" w:rsidP="00DA3F75">
      <w:pPr>
        <w:pStyle w:val="Heading1"/>
      </w:pPr>
      <w:r>
        <w:t xml:space="preserve">Commercial Case: </w:t>
      </w:r>
      <w:r w:rsidR="00DA3F75" w:rsidRPr="00A21206">
        <w:t>Overview</w:t>
      </w:r>
      <w:bookmarkEnd w:id="8"/>
    </w:p>
    <w:p w:rsidR="007C16B4" w:rsidRDefault="007F6BBC" w:rsidP="007C16B4">
      <w:pPr>
        <w:pStyle w:val="StandardParagraph"/>
      </w:pPr>
      <w:r>
        <w:rPr>
          <w:noProof/>
          <w:lang w:eastAsia="en-GB"/>
        </w:rPr>
        <w:pict>
          <v:group id="_x0000_s1513" style="position:absolute;margin-left:0;margin-top:81pt;width:408pt;height:440.85pt;z-index:251883520" coordorigin="1440,3600" coordsize="8160,8817">
            <v:rect id="_x0000_s1514" style="position:absolute;left:5280;top:4320;width:4320;height:1620;v-text-anchor:middle">
              <v:textbox style="mso-next-textbox:#_x0000_s1514">
                <w:txbxContent>
                  <w:p w:rsidR="003863F9" w:rsidRPr="00387C7B" w:rsidRDefault="003863F9" w:rsidP="007C16B4">
                    <w:pPr>
                      <w:rPr>
                        <w:sz w:val="18"/>
                        <w:szCs w:val="18"/>
                      </w:rPr>
                    </w:pPr>
                    <w:r w:rsidRPr="00387C7B">
                      <w:rPr>
                        <w:rFonts w:cs="Arial"/>
                        <w:sz w:val="18"/>
                        <w:szCs w:val="18"/>
                      </w:rPr>
                      <w:t>O</w:t>
                    </w:r>
                    <w:r w:rsidRPr="00387C7B">
                      <w:rPr>
                        <w:sz w:val="18"/>
                        <w:szCs w:val="18"/>
                      </w:rPr>
                      <w:t>utline:</w:t>
                    </w:r>
                  </w:p>
                  <w:p w:rsidR="003863F9" w:rsidRPr="00387C7B" w:rsidRDefault="003863F9" w:rsidP="007C16B4">
                    <w:pPr>
                      <w:pStyle w:val="ListParagraph"/>
                      <w:numPr>
                        <w:ilvl w:val="0"/>
                        <w:numId w:val="11"/>
                      </w:numPr>
                      <w:spacing w:before="60" w:after="60" w:line="240" w:lineRule="auto"/>
                      <w:rPr>
                        <w:sz w:val="18"/>
                        <w:szCs w:val="18"/>
                      </w:rPr>
                    </w:pPr>
                    <w:r w:rsidRPr="00387C7B">
                      <w:rPr>
                        <w:sz w:val="18"/>
                        <w:szCs w:val="18"/>
                      </w:rPr>
                      <w:t>Procurement route selected</w:t>
                    </w:r>
                  </w:p>
                  <w:p w:rsidR="003863F9" w:rsidRPr="00387C7B" w:rsidRDefault="003863F9" w:rsidP="007C16B4">
                    <w:pPr>
                      <w:pStyle w:val="ListParagraph"/>
                      <w:numPr>
                        <w:ilvl w:val="0"/>
                        <w:numId w:val="11"/>
                      </w:numPr>
                      <w:spacing w:before="60" w:after="60" w:line="240" w:lineRule="auto"/>
                      <w:rPr>
                        <w:sz w:val="18"/>
                        <w:szCs w:val="18"/>
                      </w:rPr>
                    </w:pPr>
                    <w:r>
                      <w:rPr>
                        <w:sz w:val="18"/>
                        <w:szCs w:val="18"/>
                      </w:rPr>
                      <w:t xml:space="preserve">Compliance with </w:t>
                    </w:r>
                    <w:r w:rsidRPr="00387C7B">
                      <w:rPr>
                        <w:sz w:val="18"/>
                        <w:szCs w:val="18"/>
                      </w:rPr>
                      <w:t>EU Rules and Regulations</w:t>
                    </w:r>
                  </w:p>
                  <w:p w:rsidR="003863F9" w:rsidRPr="00387C7B" w:rsidRDefault="003863F9" w:rsidP="007C16B4">
                    <w:pPr>
                      <w:pStyle w:val="ListParagraph"/>
                      <w:numPr>
                        <w:ilvl w:val="0"/>
                        <w:numId w:val="11"/>
                      </w:numPr>
                      <w:spacing w:before="60" w:after="60" w:line="240" w:lineRule="auto"/>
                      <w:rPr>
                        <w:sz w:val="18"/>
                        <w:szCs w:val="18"/>
                      </w:rPr>
                    </w:pPr>
                    <w:r w:rsidRPr="00387C7B">
                      <w:rPr>
                        <w:sz w:val="18"/>
                        <w:szCs w:val="18"/>
                      </w:rPr>
                      <w:t xml:space="preserve">Procurement </w:t>
                    </w:r>
                    <w:r>
                      <w:rPr>
                        <w:sz w:val="18"/>
                        <w:szCs w:val="18"/>
                      </w:rPr>
                      <w:t>plan &amp; timescales</w:t>
                    </w:r>
                  </w:p>
                </w:txbxContent>
              </v:textbox>
            </v:rect>
            <v:rect id="_x0000_s1515" style="position:absolute;left:2400;top:4320;width:2640;height:1620;v-text-anchor:middle">
              <v:textbox style="mso-next-textbox:#_x0000_s1515">
                <w:txbxContent>
                  <w:p w:rsidR="003863F9" w:rsidRPr="00292DCA" w:rsidRDefault="003863F9" w:rsidP="007C16B4">
                    <w:pPr>
                      <w:spacing w:line="240" w:lineRule="auto"/>
                      <w:jc w:val="left"/>
                      <w:rPr>
                        <w:sz w:val="20"/>
                      </w:rPr>
                    </w:pPr>
                    <w:r w:rsidRPr="00292DCA">
                      <w:rPr>
                        <w:sz w:val="20"/>
                      </w:rPr>
                      <w:t xml:space="preserve">What is the </w:t>
                    </w:r>
                    <w:r>
                      <w:rPr>
                        <w:sz w:val="20"/>
                      </w:rPr>
                      <w:t>appropriate</w:t>
                    </w:r>
                    <w:r w:rsidRPr="00292DCA">
                      <w:rPr>
                        <w:sz w:val="20"/>
                      </w:rPr>
                      <w:t xml:space="preserve"> procurement </w:t>
                    </w:r>
                    <w:r>
                      <w:rPr>
                        <w:sz w:val="20"/>
                      </w:rPr>
                      <w:t>route for the project</w:t>
                    </w:r>
                    <w:r w:rsidRPr="00292DCA">
                      <w:rPr>
                        <w:sz w:val="20"/>
                      </w:rPr>
                      <w:t>?</w:t>
                    </w:r>
                  </w:p>
                </w:txbxContent>
              </v:textbox>
            </v:rect>
            <v:rect id="_x0000_s1516" style="position:absolute;left:1440;top:4320;width:720;height:1620;v-text-anchor:middle" fillcolor="#bfbfbf [2412]">
              <v:textbox style="layout-flow:vertical;mso-layout-flow-alt:bottom-to-top;mso-next-textbox:#_x0000_s1516">
                <w:txbxContent>
                  <w:p w:rsidR="003863F9" w:rsidRPr="00D5397B" w:rsidRDefault="003863F9" w:rsidP="007C16B4">
                    <w:pPr>
                      <w:spacing w:line="240" w:lineRule="auto"/>
                      <w:jc w:val="center"/>
                      <w:rPr>
                        <w:b/>
                        <w:sz w:val="18"/>
                        <w:szCs w:val="18"/>
                      </w:rPr>
                    </w:pPr>
                    <w:r w:rsidRPr="00D5397B">
                      <w:rPr>
                        <w:b/>
                        <w:sz w:val="18"/>
                        <w:szCs w:val="18"/>
                      </w:rPr>
                      <w:t>Procurement S</w:t>
                    </w:r>
                    <w:r>
                      <w:rPr>
                        <w:b/>
                        <w:sz w:val="18"/>
                        <w:szCs w:val="18"/>
                      </w:rPr>
                      <w:t>trategy</w:t>
                    </w:r>
                  </w:p>
                </w:txbxContent>
              </v:textbox>
            </v:rect>
            <v:rect id="_x0000_s1517" style="position:absolute;left:5280;top:3600;width:4320;height:546;v-text-anchor:middle" fillcolor="#31849b [2408]">
              <v:textbox style="mso-next-textbox:#_x0000_s1517">
                <w:txbxContent>
                  <w:p w:rsidR="003863F9" w:rsidRPr="005B3097" w:rsidRDefault="003863F9" w:rsidP="007C16B4">
                    <w:pPr>
                      <w:spacing w:line="240" w:lineRule="auto"/>
                      <w:jc w:val="center"/>
                      <w:rPr>
                        <w:rFonts w:cs="Arial"/>
                        <w:b/>
                        <w:szCs w:val="24"/>
                      </w:rPr>
                    </w:pPr>
                    <w:r w:rsidRPr="005B3097">
                      <w:rPr>
                        <w:rFonts w:cs="Arial"/>
                        <w:b/>
                        <w:szCs w:val="24"/>
                      </w:rPr>
                      <w:t>Response</w:t>
                    </w:r>
                  </w:p>
                </w:txbxContent>
              </v:textbox>
            </v:rect>
            <v:rect id="_x0000_s1518" style="position:absolute;left:2400;top:3600;width:2640;height:546;v-text-anchor:middle" fillcolor="#31849b [2408]">
              <v:textbox style="mso-next-textbox:#_x0000_s1518">
                <w:txbxContent>
                  <w:p w:rsidR="003863F9" w:rsidRPr="005B3097" w:rsidRDefault="003863F9" w:rsidP="007C16B4">
                    <w:pPr>
                      <w:spacing w:line="240" w:lineRule="auto"/>
                      <w:jc w:val="center"/>
                      <w:rPr>
                        <w:rFonts w:cs="Arial"/>
                        <w:b/>
                        <w:szCs w:val="24"/>
                      </w:rPr>
                    </w:pPr>
                    <w:r w:rsidRPr="005B3097">
                      <w:rPr>
                        <w:rFonts w:cs="Arial"/>
                        <w:b/>
                        <w:szCs w:val="24"/>
                      </w:rPr>
                      <w:t>Question</w:t>
                    </w:r>
                  </w:p>
                </w:txbxContent>
              </v:textbox>
            </v:rect>
            <v:rect id="_x0000_s1519" style="position:absolute;left:1440;top:6120;width:720;height:1620;v-text-anchor:middle" fillcolor="#bfbfbf [2412]">
              <v:textbox style="layout-flow:vertical;mso-layout-flow-alt:bottom-to-top;mso-next-textbox:#_x0000_s1519">
                <w:txbxContent>
                  <w:p w:rsidR="003863F9" w:rsidRPr="005B3097" w:rsidRDefault="003863F9" w:rsidP="007C16B4">
                    <w:pPr>
                      <w:spacing w:line="240" w:lineRule="auto"/>
                      <w:jc w:val="center"/>
                      <w:rPr>
                        <w:rFonts w:cs="Arial"/>
                        <w:b/>
                        <w:sz w:val="18"/>
                        <w:szCs w:val="18"/>
                      </w:rPr>
                    </w:pPr>
                    <w:r>
                      <w:rPr>
                        <w:rFonts w:cs="Arial"/>
                        <w:b/>
                        <w:sz w:val="18"/>
                        <w:szCs w:val="18"/>
                      </w:rPr>
                      <w:t>Scope of Works &amp; Services</w:t>
                    </w:r>
                  </w:p>
                </w:txbxContent>
              </v:textbox>
            </v:rect>
            <v:rect id="_x0000_s1520" style="position:absolute;left:2400;top:6120;width:2640;height:1620;v-text-anchor:middle">
              <v:textbox style="mso-next-textbox:#_x0000_s1520">
                <w:txbxContent>
                  <w:p w:rsidR="003863F9" w:rsidRPr="00203446" w:rsidRDefault="003863F9" w:rsidP="007C16B4">
                    <w:pPr>
                      <w:spacing w:before="240" w:after="120" w:line="240" w:lineRule="auto"/>
                      <w:jc w:val="left"/>
                      <w:rPr>
                        <w:rFonts w:cs="Arial"/>
                        <w:sz w:val="20"/>
                      </w:rPr>
                    </w:pPr>
                    <w:r>
                      <w:rPr>
                        <w:rFonts w:cs="Arial"/>
                        <w:sz w:val="20"/>
                      </w:rPr>
                      <w:t>What is the scope and content of the proposed commercial arrangement</w:t>
                    </w:r>
                    <w:r w:rsidRPr="00203446">
                      <w:rPr>
                        <w:rFonts w:cs="Arial"/>
                        <w:sz w:val="20"/>
                      </w:rPr>
                      <w:t>?</w:t>
                    </w:r>
                  </w:p>
                  <w:p w:rsidR="003863F9" w:rsidRPr="00D5397B" w:rsidRDefault="003863F9" w:rsidP="007C16B4"/>
                </w:txbxContent>
              </v:textbox>
            </v:rect>
            <v:rect id="_x0000_s1521" style="position:absolute;left:5280;top:6120;width:4320;height:1620;v-text-anchor:middle">
              <v:textbox style="mso-next-textbox:#_x0000_s1521">
                <w:txbxContent>
                  <w:p w:rsidR="003863F9" w:rsidRPr="00387C7B" w:rsidRDefault="003863F9" w:rsidP="007C16B4">
                    <w:pPr>
                      <w:spacing w:before="60" w:after="60" w:line="240" w:lineRule="auto"/>
                      <w:jc w:val="left"/>
                      <w:rPr>
                        <w:rFonts w:cs="Arial"/>
                        <w:sz w:val="18"/>
                        <w:szCs w:val="18"/>
                      </w:rPr>
                    </w:pPr>
                    <w:r w:rsidRPr="00387C7B">
                      <w:rPr>
                        <w:rFonts w:cs="Arial"/>
                        <w:sz w:val="18"/>
                        <w:szCs w:val="18"/>
                      </w:rPr>
                      <w:t>Outline:</w:t>
                    </w:r>
                  </w:p>
                  <w:p w:rsidR="003863F9" w:rsidRPr="00387C7B" w:rsidRDefault="003863F9" w:rsidP="007C16B4">
                    <w:pPr>
                      <w:pStyle w:val="ListParagraph"/>
                      <w:numPr>
                        <w:ilvl w:val="0"/>
                        <w:numId w:val="11"/>
                      </w:numPr>
                      <w:spacing w:before="60" w:after="60" w:line="240" w:lineRule="auto"/>
                      <w:rPr>
                        <w:sz w:val="18"/>
                        <w:szCs w:val="18"/>
                      </w:rPr>
                    </w:pPr>
                    <w:r>
                      <w:rPr>
                        <w:sz w:val="18"/>
                        <w:szCs w:val="18"/>
                      </w:rPr>
                      <w:t>Scope &amp; content of included services</w:t>
                    </w:r>
                  </w:p>
                  <w:p w:rsidR="003863F9" w:rsidRDefault="003863F9" w:rsidP="007C16B4">
                    <w:pPr>
                      <w:pStyle w:val="ListParagraph"/>
                      <w:numPr>
                        <w:ilvl w:val="0"/>
                        <w:numId w:val="11"/>
                      </w:numPr>
                      <w:spacing w:before="60" w:after="60" w:line="240" w:lineRule="auto"/>
                      <w:rPr>
                        <w:sz w:val="18"/>
                        <w:szCs w:val="18"/>
                      </w:rPr>
                    </w:pPr>
                    <w:r>
                      <w:rPr>
                        <w:sz w:val="18"/>
                        <w:szCs w:val="18"/>
                      </w:rPr>
                      <w:t>Scope of building works</w:t>
                    </w:r>
                  </w:p>
                  <w:p w:rsidR="003863F9" w:rsidRPr="00387C7B" w:rsidRDefault="003863F9" w:rsidP="007C16B4">
                    <w:pPr>
                      <w:pStyle w:val="ListParagraph"/>
                      <w:numPr>
                        <w:ilvl w:val="0"/>
                        <w:numId w:val="11"/>
                      </w:numPr>
                      <w:spacing w:before="60" w:after="60" w:line="240" w:lineRule="auto"/>
                      <w:rPr>
                        <w:sz w:val="18"/>
                        <w:szCs w:val="18"/>
                      </w:rPr>
                    </w:pPr>
                    <w:r>
                      <w:rPr>
                        <w:sz w:val="18"/>
                        <w:szCs w:val="18"/>
                      </w:rPr>
                      <w:t>Scope of other works</w:t>
                    </w:r>
                  </w:p>
                </w:txbxContent>
              </v:textbox>
            </v:rect>
            <v:rect id="_x0000_s1522" style="position:absolute;left:1440;top:7920;width:720;height:1260;v-text-anchor:middle" fillcolor="#bfbfbf [2412]">
              <v:textbox style="layout-flow:vertical;mso-layout-flow-alt:bottom-to-top;mso-next-textbox:#_x0000_s1522">
                <w:txbxContent>
                  <w:p w:rsidR="003863F9" w:rsidRPr="00D5397B" w:rsidRDefault="003863F9" w:rsidP="007C16B4">
                    <w:pPr>
                      <w:spacing w:line="240" w:lineRule="auto"/>
                      <w:jc w:val="center"/>
                      <w:rPr>
                        <w:szCs w:val="18"/>
                      </w:rPr>
                    </w:pPr>
                    <w:r>
                      <w:rPr>
                        <w:rFonts w:cs="Arial"/>
                        <w:b/>
                        <w:sz w:val="18"/>
                        <w:szCs w:val="18"/>
                      </w:rPr>
                      <w:t>Risk Allocation</w:t>
                    </w:r>
                  </w:p>
                </w:txbxContent>
              </v:textbox>
            </v:rect>
            <v:rect id="_x0000_s1523" style="position:absolute;left:2378;top:7920;width:2662;height:1260;v-text-anchor:middle">
              <v:textbox style="mso-next-textbox:#_x0000_s1523">
                <w:txbxContent>
                  <w:p w:rsidR="003863F9" w:rsidRDefault="003863F9" w:rsidP="007C16B4">
                    <w:pPr>
                      <w:spacing w:line="240" w:lineRule="auto"/>
                      <w:rPr>
                        <w:sz w:val="20"/>
                      </w:rPr>
                    </w:pPr>
                  </w:p>
                  <w:p w:rsidR="003863F9" w:rsidRPr="007A4477" w:rsidRDefault="003863F9" w:rsidP="007C16B4">
                    <w:pPr>
                      <w:spacing w:line="240" w:lineRule="auto"/>
                      <w:jc w:val="left"/>
                      <w:rPr>
                        <w:sz w:val="20"/>
                      </w:rPr>
                    </w:pPr>
                    <w:r w:rsidRPr="007A4477">
                      <w:rPr>
                        <w:sz w:val="20"/>
                      </w:rPr>
                      <w:t>How will the risks be apportioned between public and private sector?</w:t>
                    </w:r>
                  </w:p>
                  <w:p w:rsidR="003863F9" w:rsidRPr="00D5397B" w:rsidRDefault="003863F9" w:rsidP="007C16B4"/>
                </w:txbxContent>
              </v:textbox>
            </v:rect>
            <v:rect id="_x0000_s1524" style="position:absolute;left:5280;top:7920;width:4320;height:1260;flip:y;v-text-anchor:middle">
              <v:textbox style="mso-next-textbox:#_x0000_s1524">
                <w:txbxContent>
                  <w:p w:rsidR="003863F9" w:rsidRPr="00387C7B" w:rsidRDefault="003863F9" w:rsidP="007C16B4">
                    <w:pPr>
                      <w:spacing w:before="60" w:after="60" w:line="240" w:lineRule="auto"/>
                      <w:jc w:val="left"/>
                      <w:rPr>
                        <w:rFonts w:cs="Arial"/>
                        <w:sz w:val="18"/>
                        <w:szCs w:val="18"/>
                      </w:rPr>
                    </w:pPr>
                    <w:r w:rsidRPr="00387C7B">
                      <w:rPr>
                        <w:rFonts w:cs="Arial"/>
                        <w:sz w:val="18"/>
                        <w:szCs w:val="18"/>
                      </w:rPr>
                      <w:t>Outline:</w:t>
                    </w:r>
                  </w:p>
                  <w:p w:rsidR="003863F9" w:rsidRPr="000871B6" w:rsidRDefault="003863F9" w:rsidP="007C16B4">
                    <w:pPr>
                      <w:pStyle w:val="Bullettable"/>
                      <w:ind w:left="720" w:hanging="360"/>
                      <w:contextualSpacing/>
                      <w:rPr>
                        <w:sz w:val="18"/>
                        <w:szCs w:val="18"/>
                      </w:rPr>
                    </w:pPr>
                    <w:r>
                      <w:rPr>
                        <w:sz w:val="18"/>
                        <w:szCs w:val="18"/>
                      </w:rPr>
                      <w:t>Risk allocation table</w:t>
                    </w:r>
                  </w:p>
                </w:txbxContent>
              </v:textbox>
            </v:rect>
            <v:rect id="_x0000_s1525" style="position:absolute;left:1440;top:9360;width:720;height:1260;v-text-anchor:middle" fillcolor="#bfbfbf [2412]">
              <v:textbox style="layout-flow:vertical;mso-layout-flow-alt:bottom-to-top;mso-next-textbox:#_x0000_s1525">
                <w:txbxContent>
                  <w:p w:rsidR="003863F9" w:rsidRPr="005B3097" w:rsidRDefault="003863F9" w:rsidP="007C16B4">
                    <w:pPr>
                      <w:spacing w:line="240" w:lineRule="auto"/>
                      <w:jc w:val="center"/>
                      <w:rPr>
                        <w:rFonts w:cs="Arial"/>
                        <w:b/>
                        <w:sz w:val="18"/>
                        <w:szCs w:val="18"/>
                      </w:rPr>
                    </w:pPr>
                    <w:r>
                      <w:rPr>
                        <w:rFonts w:cs="Arial"/>
                        <w:b/>
                        <w:sz w:val="18"/>
                        <w:szCs w:val="18"/>
                      </w:rPr>
                      <w:t>Payment Structure</w:t>
                    </w:r>
                  </w:p>
                </w:txbxContent>
              </v:textbox>
            </v:rect>
            <v:rect id="_x0000_s1526" style="position:absolute;left:2378;top:9360;width:2662;height:1260;v-text-anchor:middle">
              <v:textbox style="mso-next-textbox:#_x0000_s1526">
                <w:txbxContent>
                  <w:p w:rsidR="003863F9" w:rsidRPr="00ED0816" w:rsidRDefault="003863F9" w:rsidP="007C16B4">
                    <w:pPr>
                      <w:spacing w:before="120" w:after="120" w:line="240" w:lineRule="auto"/>
                      <w:jc w:val="left"/>
                      <w:rPr>
                        <w:sz w:val="20"/>
                      </w:rPr>
                    </w:pPr>
                    <w:r w:rsidRPr="00190E84">
                      <w:rPr>
                        <w:rFonts w:cs="Arial"/>
                        <w:sz w:val="20"/>
                      </w:rPr>
                      <w:t>How is payment to be made over the</w:t>
                    </w:r>
                    <w:r w:rsidRPr="00190E84">
                      <w:rPr>
                        <w:sz w:val="20"/>
                      </w:rPr>
                      <w:t xml:space="preserve"> </w:t>
                    </w:r>
                    <w:r>
                      <w:rPr>
                        <w:sz w:val="20"/>
                      </w:rPr>
                      <w:t>life span of the contract?</w:t>
                    </w:r>
                  </w:p>
                </w:txbxContent>
              </v:textbox>
            </v:rect>
            <v:rect id="_x0000_s1527" style="position:absolute;left:5280;top:9360;width:4320;height:1260;v-text-anchor:middle">
              <v:textbox style="mso-next-textbox:#_x0000_s1527">
                <w:txbxContent>
                  <w:p w:rsidR="003863F9" w:rsidRPr="00387C7B" w:rsidRDefault="003863F9" w:rsidP="007C16B4">
                    <w:pPr>
                      <w:spacing w:before="60" w:after="60" w:line="240" w:lineRule="auto"/>
                      <w:jc w:val="left"/>
                      <w:rPr>
                        <w:rFonts w:cs="Arial"/>
                        <w:sz w:val="18"/>
                        <w:szCs w:val="18"/>
                      </w:rPr>
                    </w:pPr>
                    <w:r w:rsidRPr="00387C7B">
                      <w:rPr>
                        <w:rFonts w:cs="Arial"/>
                        <w:sz w:val="18"/>
                        <w:szCs w:val="18"/>
                      </w:rPr>
                      <w:t>Outline:</w:t>
                    </w:r>
                  </w:p>
                  <w:p w:rsidR="003863F9" w:rsidRDefault="003863F9" w:rsidP="007C16B4">
                    <w:pPr>
                      <w:pStyle w:val="ListParagraph"/>
                      <w:numPr>
                        <w:ilvl w:val="0"/>
                        <w:numId w:val="11"/>
                      </w:numPr>
                      <w:spacing w:before="60" w:after="60" w:line="240" w:lineRule="auto"/>
                      <w:rPr>
                        <w:sz w:val="18"/>
                        <w:szCs w:val="18"/>
                      </w:rPr>
                    </w:pPr>
                    <w:r>
                      <w:rPr>
                        <w:sz w:val="18"/>
                        <w:szCs w:val="18"/>
                      </w:rPr>
                      <w:t>Proposed payment structure</w:t>
                    </w:r>
                  </w:p>
                  <w:p w:rsidR="003863F9" w:rsidRPr="00387C7B" w:rsidRDefault="003863F9" w:rsidP="007C16B4">
                    <w:pPr>
                      <w:pStyle w:val="ListParagraph"/>
                      <w:numPr>
                        <w:ilvl w:val="0"/>
                        <w:numId w:val="11"/>
                      </w:numPr>
                      <w:spacing w:before="60" w:after="60" w:line="240" w:lineRule="auto"/>
                      <w:rPr>
                        <w:sz w:val="18"/>
                        <w:szCs w:val="18"/>
                      </w:rPr>
                    </w:pPr>
                    <w:r>
                      <w:rPr>
                        <w:sz w:val="18"/>
                        <w:szCs w:val="18"/>
                      </w:rPr>
                      <w:t>Other payment principles</w:t>
                    </w:r>
                  </w:p>
                  <w:p w:rsidR="003863F9" w:rsidRPr="00387C7B" w:rsidRDefault="003863F9" w:rsidP="007C16B4">
                    <w:pPr>
                      <w:pStyle w:val="ListParagraph"/>
                      <w:numPr>
                        <w:ilvl w:val="0"/>
                        <w:numId w:val="11"/>
                      </w:numPr>
                      <w:spacing w:before="60" w:after="60" w:line="240" w:lineRule="auto"/>
                      <w:rPr>
                        <w:sz w:val="18"/>
                        <w:szCs w:val="18"/>
                      </w:rPr>
                    </w:pPr>
                    <w:r>
                      <w:rPr>
                        <w:sz w:val="18"/>
                        <w:szCs w:val="18"/>
                      </w:rPr>
                      <w:t>Any non-standard arrangements</w:t>
                    </w:r>
                  </w:p>
                </w:txbxContent>
              </v:textbox>
            </v:rect>
            <v:rect id="_x0000_s1528" style="position:absolute;left:1440;top:10800;width:720;height:1617;v-text-anchor:middle" fillcolor="#bfbfbf [2412]">
              <v:textbox style="layout-flow:vertical;mso-layout-flow-alt:bottom-to-top;mso-next-textbox:#_x0000_s1528">
                <w:txbxContent>
                  <w:p w:rsidR="003863F9" w:rsidRPr="005B3097" w:rsidRDefault="003863F9" w:rsidP="007C16B4">
                    <w:pPr>
                      <w:spacing w:line="240" w:lineRule="auto"/>
                      <w:jc w:val="center"/>
                      <w:rPr>
                        <w:rFonts w:cs="Arial"/>
                        <w:b/>
                        <w:sz w:val="18"/>
                        <w:szCs w:val="18"/>
                      </w:rPr>
                    </w:pPr>
                    <w:r>
                      <w:rPr>
                        <w:rFonts w:cs="Arial"/>
                        <w:b/>
                        <w:sz w:val="18"/>
                        <w:szCs w:val="18"/>
                      </w:rPr>
                      <w:t>Contractual Arrangements</w:t>
                    </w:r>
                  </w:p>
                </w:txbxContent>
              </v:textbox>
            </v:rect>
            <v:rect id="_x0000_s1529" style="position:absolute;left:2400;top:10800;width:2662;height:1617;v-text-anchor:middle">
              <v:textbox style="mso-next-textbox:#_x0000_s1529">
                <w:txbxContent>
                  <w:p w:rsidR="003863F9" w:rsidRPr="00D5397B" w:rsidRDefault="003863F9" w:rsidP="007C16B4">
                    <w:pPr>
                      <w:spacing w:line="240" w:lineRule="auto"/>
                      <w:jc w:val="left"/>
                    </w:pPr>
                    <w:r w:rsidRPr="00B54B49">
                      <w:rPr>
                        <w:rFonts w:cs="Arial"/>
                        <w:sz w:val="20"/>
                      </w:rPr>
                      <w:t xml:space="preserve">What are the </w:t>
                    </w:r>
                    <w:r>
                      <w:rPr>
                        <w:rFonts w:cs="Arial"/>
                        <w:sz w:val="20"/>
                      </w:rPr>
                      <w:t xml:space="preserve">main </w:t>
                    </w:r>
                    <w:r w:rsidRPr="00B54B49">
                      <w:rPr>
                        <w:rFonts w:cs="Arial"/>
                        <w:sz w:val="20"/>
                      </w:rPr>
                      <w:t>contractual</w:t>
                    </w:r>
                    <w:r>
                      <w:rPr>
                        <w:rFonts w:cs="Arial"/>
                        <w:sz w:val="20"/>
                      </w:rPr>
                      <w:t xml:space="preserve"> arrangements?</w:t>
                    </w:r>
                  </w:p>
                </w:txbxContent>
              </v:textbox>
            </v:rect>
            <v:rect id="_x0000_s1530" style="position:absolute;left:5280;top:10800;width:4320;height:1617;v-text-anchor:middle">
              <v:textbox style="mso-next-textbox:#_x0000_s1530">
                <w:txbxContent>
                  <w:p w:rsidR="003863F9" w:rsidRPr="00ED0816" w:rsidRDefault="003863F9" w:rsidP="007C16B4">
                    <w:pPr>
                      <w:spacing w:before="60" w:after="60" w:line="240" w:lineRule="auto"/>
                      <w:jc w:val="left"/>
                      <w:rPr>
                        <w:rFonts w:cs="Arial"/>
                        <w:sz w:val="18"/>
                        <w:szCs w:val="18"/>
                      </w:rPr>
                    </w:pPr>
                    <w:r w:rsidRPr="00ED0816">
                      <w:rPr>
                        <w:rFonts w:cs="Arial"/>
                        <w:sz w:val="18"/>
                        <w:szCs w:val="18"/>
                      </w:rPr>
                      <w:t>Outline:</w:t>
                    </w:r>
                  </w:p>
                  <w:p w:rsidR="003863F9" w:rsidRPr="00ED0816" w:rsidRDefault="003863F9" w:rsidP="007C16B4">
                    <w:pPr>
                      <w:pStyle w:val="Bullettable"/>
                      <w:ind w:left="720" w:hanging="360"/>
                      <w:contextualSpacing/>
                      <w:rPr>
                        <w:szCs w:val="18"/>
                      </w:rPr>
                    </w:pPr>
                    <w:r>
                      <w:rPr>
                        <w:sz w:val="18"/>
                        <w:szCs w:val="18"/>
                      </w:rPr>
                      <w:t>Type of contract proposed</w:t>
                    </w:r>
                  </w:p>
                  <w:p w:rsidR="003863F9" w:rsidRPr="00ED0816" w:rsidRDefault="003863F9" w:rsidP="007C16B4">
                    <w:pPr>
                      <w:pStyle w:val="Bullettable"/>
                      <w:ind w:left="720" w:hanging="360"/>
                      <w:contextualSpacing/>
                      <w:rPr>
                        <w:szCs w:val="18"/>
                      </w:rPr>
                    </w:pPr>
                    <w:r>
                      <w:rPr>
                        <w:sz w:val="18"/>
                        <w:szCs w:val="18"/>
                      </w:rPr>
                      <w:t>Key contractual issues</w:t>
                    </w:r>
                  </w:p>
                  <w:p w:rsidR="003863F9" w:rsidRPr="00D5397B" w:rsidRDefault="003863F9" w:rsidP="007C16B4">
                    <w:pPr>
                      <w:pStyle w:val="Bullettable"/>
                      <w:ind w:left="720" w:hanging="360"/>
                      <w:contextualSpacing/>
                      <w:rPr>
                        <w:szCs w:val="18"/>
                      </w:rPr>
                    </w:pPr>
                    <w:r>
                      <w:rPr>
                        <w:sz w:val="18"/>
                        <w:szCs w:val="18"/>
                      </w:rPr>
                      <w:t>Personnel implications</w:t>
                    </w:r>
                  </w:p>
                </w:txbxContent>
              </v:textbox>
            </v:rect>
            <w10:wrap type="topAndBottom"/>
          </v:group>
        </w:pict>
      </w:r>
      <w:r w:rsidR="007C16B4" w:rsidRPr="00D0670F">
        <w:t xml:space="preserve">The </w:t>
      </w:r>
      <w:r w:rsidR="007C16B4">
        <w:t xml:space="preserve">main </w:t>
      </w:r>
      <w:r w:rsidR="007C16B4" w:rsidRPr="00D0670F">
        <w:t xml:space="preserve">purpose of the </w:t>
      </w:r>
      <w:r w:rsidR="007C16B4">
        <w:t>Commercial Case at OBC is to outline the proposed commercial arrangements and implications for the project.  It will do this by responding, as appropriate, to the following questions:</w:t>
      </w:r>
    </w:p>
    <w:p w:rsidR="007C16B4" w:rsidRDefault="007C16B4" w:rsidP="007C16B4">
      <w:pPr>
        <w:pStyle w:val="NoSpacing"/>
      </w:pPr>
    </w:p>
    <w:p w:rsidR="007C16B4" w:rsidRDefault="007C16B4" w:rsidP="007C16B4">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t xml:space="preserve">The availability of the requested information for this section of the OBC may be affected by the selected procurement </w:t>
      </w:r>
      <w:proofErr w:type="gramStart"/>
      <w:r>
        <w:t>route,</w:t>
      </w:r>
      <w:proofErr w:type="gramEnd"/>
      <w:r>
        <w:t xml:space="preserve"> therefore, in such instances the response provided should cover the key principles as outlined, whilst explaining when more detailed information will be confirmed at FBC stage.</w:t>
      </w:r>
    </w:p>
    <w:p w:rsidR="007C16B4" w:rsidRDefault="007C16B4" w:rsidP="007C16B4">
      <w:pPr>
        <w:pStyle w:val="Heading1"/>
      </w:pPr>
      <w:r>
        <w:lastRenderedPageBreak/>
        <w:t>Determine the Procurement Strategy</w:t>
      </w:r>
    </w:p>
    <w:p w:rsidR="007C16B4" w:rsidRDefault="007F6BBC" w:rsidP="007C16B4">
      <w:pPr>
        <w:pStyle w:val="NoSpacing"/>
      </w:pPr>
      <w:r>
        <w:rPr>
          <w:noProof/>
          <w:lang w:eastAsia="en-GB"/>
        </w:rPr>
        <w:pict>
          <v:group id="_x0000_s1495" style="position:absolute;left:0;text-align:left;margin-left:0;margin-top:8.2pt;width:396pt;height:126.65pt;z-index:251880448" coordorigin="1440,2327" coordsize="7920,2533">
            <v:rect id="_x0000_s1496" style="position:absolute;left:5040;top:3047;width:4320;height:1813">
              <v:textbox style="mso-next-textbox:#_x0000_s1496">
                <w:txbxContent>
                  <w:p w:rsidR="003863F9" w:rsidRPr="00770637" w:rsidRDefault="003863F9" w:rsidP="007C16B4">
                    <w:pPr>
                      <w:rPr>
                        <w:sz w:val="20"/>
                      </w:rPr>
                    </w:pPr>
                    <w:r w:rsidRPr="00770637">
                      <w:rPr>
                        <w:sz w:val="20"/>
                      </w:rPr>
                      <w:t>Outline:</w:t>
                    </w:r>
                  </w:p>
                  <w:p w:rsidR="003863F9" w:rsidRPr="00770637" w:rsidRDefault="003863F9" w:rsidP="007C16B4">
                    <w:pPr>
                      <w:pStyle w:val="ListParagraph"/>
                      <w:numPr>
                        <w:ilvl w:val="0"/>
                        <w:numId w:val="11"/>
                      </w:numPr>
                      <w:spacing w:before="60" w:after="60" w:line="240" w:lineRule="auto"/>
                      <w:rPr>
                        <w:sz w:val="20"/>
                      </w:rPr>
                    </w:pPr>
                    <w:r w:rsidRPr="00770637">
                      <w:rPr>
                        <w:sz w:val="20"/>
                      </w:rPr>
                      <w:t xml:space="preserve">Procurement </w:t>
                    </w:r>
                    <w:r>
                      <w:rPr>
                        <w:sz w:val="20"/>
                      </w:rPr>
                      <w:t>route selected</w:t>
                    </w:r>
                  </w:p>
                  <w:p w:rsidR="003863F9" w:rsidRPr="00770637" w:rsidRDefault="003863F9" w:rsidP="007C16B4">
                    <w:pPr>
                      <w:pStyle w:val="ListParagraph"/>
                      <w:numPr>
                        <w:ilvl w:val="0"/>
                        <w:numId w:val="11"/>
                      </w:numPr>
                      <w:spacing w:before="60" w:after="60" w:line="240" w:lineRule="auto"/>
                      <w:rPr>
                        <w:sz w:val="20"/>
                      </w:rPr>
                    </w:pPr>
                    <w:r>
                      <w:rPr>
                        <w:sz w:val="20"/>
                      </w:rPr>
                      <w:t xml:space="preserve">Compliance with </w:t>
                    </w:r>
                    <w:r w:rsidRPr="00770637">
                      <w:rPr>
                        <w:sz w:val="20"/>
                      </w:rPr>
                      <w:t>EU Rules and Regulations</w:t>
                    </w:r>
                  </w:p>
                  <w:p w:rsidR="003863F9" w:rsidRPr="00C602ED" w:rsidRDefault="003863F9" w:rsidP="007C16B4">
                    <w:pPr>
                      <w:pStyle w:val="ListParagraph"/>
                      <w:numPr>
                        <w:ilvl w:val="0"/>
                        <w:numId w:val="11"/>
                      </w:numPr>
                      <w:spacing w:before="60" w:after="60" w:line="240" w:lineRule="auto"/>
                      <w:rPr>
                        <w:sz w:val="20"/>
                      </w:rPr>
                    </w:pPr>
                    <w:r w:rsidRPr="00C602ED">
                      <w:rPr>
                        <w:sz w:val="20"/>
                      </w:rPr>
                      <w:t xml:space="preserve">Procurement </w:t>
                    </w:r>
                    <w:r>
                      <w:rPr>
                        <w:sz w:val="20"/>
                      </w:rPr>
                      <w:t>Plan &amp; timescales</w:t>
                    </w:r>
                  </w:p>
                  <w:p w:rsidR="003863F9" w:rsidRPr="00770637" w:rsidRDefault="003863F9" w:rsidP="007C16B4"/>
                </w:txbxContent>
              </v:textbox>
            </v:rect>
            <v:rect id="_x0000_s1497" style="position:absolute;left:2400;top:3047;width:2400;height:1813;v-text-anchor:middle">
              <v:textbox style="mso-next-textbox:#_x0000_s1497">
                <w:txbxContent>
                  <w:p w:rsidR="003863F9" w:rsidRPr="00292DCA" w:rsidRDefault="003863F9" w:rsidP="007C16B4">
                    <w:pPr>
                      <w:spacing w:line="240" w:lineRule="auto"/>
                      <w:jc w:val="left"/>
                      <w:rPr>
                        <w:sz w:val="20"/>
                      </w:rPr>
                    </w:pPr>
                    <w:r w:rsidRPr="00292DCA">
                      <w:rPr>
                        <w:sz w:val="20"/>
                      </w:rPr>
                      <w:t xml:space="preserve">What is the </w:t>
                    </w:r>
                    <w:r>
                      <w:rPr>
                        <w:sz w:val="20"/>
                      </w:rPr>
                      <w:t xml:space="preserve">appropriate </w:t>
                    </w:r>
                    <w:r w:rsidRPr="00292DCA">
                      <w:rPr>
                        <w:sz w:val="20"/>
                      </w:rPr>
                      <w:t xml:space="preserve">procurement </w:t>
                    </w:r>
                    <w:r>
                      <w:rPr>
                        <w:sz w:val="20"/>
                      </w:rPr>
                      <w:t>route for the project</w:t>
                    </w:r>
                    <w:r w:rsidRPr="00292DCA">
                      <w:rPr>
                        <w:sz w:val="20"/>
                      </w:rPr>
                      <w:t>?</w:t>
                    </w:r>
                  </w:p>
                  <w:p w:rsidR="003863F9" w:rsidRPr="00292DCA" w:rsidRDefault="003863F9" w:rsidP="007C16B4">
                    <w:pPr>
                      <w:rPr>
                        <w:szCs w:val="24"/>
                      </w:rPr>
                    </w:pPr>
                  </w:p>
                </w:txbxContent>
              </v:textbox>
            </v:rect>
            <v:rect id="_x0000_s1498" style="position:absolute;left:1440;top:3047;width:720;height:1813;v-text-anchor:middle" fillcolor="#bfbfbf [2412]">
              <v:textbox style="layout-flow:vertical;mso-layout-flow-alt:bottom-to-top;mso-next-textbox:#_x0000_s1498">
                <w:txbxContent>
                  <w:p w:rsidR="003863F9" w:rsidRPr="005B3097" w:rsidRDefault="003863F9" w:rsidP="007C16B4">
                    <w:pPr>
                      <w:spacing w:line="240" w:lineRule="auto"/>
                      <w:jc w:val="center"/>
                      <w:rPr>
                        <w:rFonts w:cs="Arial"/>
                        <w:b/>
                        <w:sz w:val="18"/>
                        <w:szCs w:val="18"/>
                      </w:rPr>
                    </w:pPr>
                    <w:r>
                      <w:rPr>
                        <w:rFonts w:cs="Arial"/>
                        <w:b/>
                        <w:sz w:val="18"/>
                        <w:szCs w:val="18"/>
                      </w:rPr>
                      <w:t>Procurement Strategy</w:t>
                    </w:r>
                  </w:p>
                </w:txbxContent>
              </v:textbox>
            </v:rect>
            <v:rect id="_x0000_s1499" style="position:absolute;left:5040;top:2327;width:4320;height:453;v-text-anchor:middle" fillcolor="#31849b [2408]">
              <v:textbox style="mso-next-textbox:#_x0000_s1499">
                <w:txbxContent>
                  <w:p w:rsidR="003863F9" w:rsidRPr="005B3097" w:rsidRDefault="003863F9" w:rsidP="007C16B4">
                    <w:pPr>
                      <w:spacing w:line="240" w:lineRule="auto"/>
                      <w:jc w:val="center"/>
                      <w:rPr>
                        <w:rFonts w:cs="Arial"/>
                        <w:b/>
                        <w:szCs w:val="24"/>
                      </w:rPr>
                    </w:pPr>
                    <w:r w:rsidRPr="005B3097">
                      <w:rPr>
                        <w:rFonts w:cs="Arial"/>
                        <w:b/>
                        <w:szCs w:val="24"/>
                      </w:rPr>
                      <w:t>Response</w:t>
                    </w:r>
                  </w:p>
                </w:txbxContent>
              </v:textbox>
            </v:rect>
            <v:rect id="_x0000_s1500" style="position:absolute;left:2400;top:2327;width:2400;height:453;v-text-anchor:middle" fillcolor="#31849b [2408]">
              <v:textbox style="mso-next-textbox:#_x0000_s1500">
                <w:txbxContent>
                  <w:p w:rsidR="003863F9" w:rsidRPr="005B3097" w:rsidRDefault="003863F9" w:rsidP="007C16B4">
                    <w:pPr>
                      <w:spacing w:line="240" w:lineRule="auto"/>
                      <w:jc w:val="center"/>
                      <w:rPr>
                        <w:rFonts w:cs="Arial"/>
                        <w:b/>
                        <w:szCs w:val="24"/>
                      </w:rPr>
                    </w:pPr>
                    <w:r w:rsidRPr="005B3097">
                      <w:rPr>
                        <w:rFonts w:cs="Arial"/>
                        <w:b/>
                        <w:szCs w:val="24"/>
                      </w:rPr>
                      <w:t>Question</w:t>
                    </w:r>
                  </w:p>
                </w:txbxContent>
              </v:textbox>
            </v:rect>
            <w10:wrap type="topAndBottom"/>
          </v:group>
        </w:pict>
      </w:r>
    </w:p>
    <w:p w:rsidR="007C16B4" w:rsidRDefault="007C16B4" w:rsidP="007C16B4">
      <w:pPr>
        <w:pStyle w:val="Heading2"/>
      </w:pPr>
      <w:r w:rsidRPr="0019468D">
        <w:tab/>
        <w:t xml:space="preserve">Procurement </w:t>
      </w:r>
      <w:r>
        <w:t>Route</w:t>
      </w:r>
    </w:p>
    <w:p w:rsidR="007C16B4" w:rsidRDefault="0074472F" w:rsidP="007C16B4">
      <w:pPr>
        <w:pStyle w:val="StandardParagraph"/>
      </w:pPr>
      <w:proofErr w:type="spellStart"/>
      <w:r>
        <w:t>NHSScotland</w:t>
      </w:r>
      <w:proofErr w:type="spellEnd"/>
      <w:r>
        <w:t xml:space="preserve"> has established</w:t>
      </w:r>
      <w:r w:rsidR="007C16B4">
        <w:t xml:space="preserve"> national procurement routes for major asset investment</w:t>
      </w:r>
      <w:r w:rsidR="007C16B4" w:rsidRPr="001D66DB">
        <w:t xml:space="preserve"> </w:t>
      </w:r>
      <w:r w:rsidR="007C16B4">
        <w:t>which have been fully developed within the EU public sector procurement regulation framework.  The reason for selecting one of these, or an appropriate alternative, must be explained within the OBC.</w:t>
      </w:r>
    </w:p>
    <w:p w:rsidR="007C16B4" w:rsidRDefault="007C16B4" w:rsidP="007C16B4">
      <w:pPr>
        <w:pStyle w:val="StandardParagraph"/>
      </w:pPr>
      <w:r w:rsidRPr="000871B6">
        <w:rPr>
          <w:b/>
        </w:rPr>
        <w:t>Where a project is expected to apply a series of procurement routes for different aspects of the project then each one should be stated and explained.</w:t>
      </w:r>
      <w:r>
        <w:t xml:space="preserve">  For example, there may be different procurement routes necessary for the main project, early preparation works, equipment arrangements, and appointment of external consultants.</w:t>
      </w:r>
    </w:p>
    <w:p w:rsidR="007C16B4" w:rsidRDefault="007C16B4" w:rsidP="007C16B4">
      <w:pPr>
        <w:pStyle w:val="StandardParagraph"/>
      </w:pPr>
      <w:r>
        <w:t xml:space="preserve">The following are example statements which can be used within the OBC to explain why a particular procurement route has been selected.  If one is used, it may need to be added to or amended to suit a project’s particular circumstances. </w:t>
      </w:r>
    </w:p>
    <w:p w:rsidR="007C16B4" w:rsidRPr="00B21B5C" w:rsidRDefault="007C16B4" w:rsidP="007C16B4">
      <w:pPr>
        <w:pStyle w:val="StandardBullet0"/>
      </w:pPr>
      <w:r>
        <w:t>This project is a</w:t>
      </w:r>
      <w:r w:rsidRPr="00B21B5C">
        <w:t xml:space="preserve"> </w:t>
      </w:r>
      <w:r>
        <w:t>h</w:t>
      </w:r>
      <w:r w:rsidRPr="00B21B5C">
        <w:t xml:space="preserve">ealth </w:t>
      </w:r>
      <w:r>
        <w:t xml:space="preserve">(or other Public body) </w:t>
      </w:r>
      <w:r w:rsidRPr="00B21B5C">
        <w:t xml:space="preserve">project </w:t>
      </w:r>
      <w:r>
        <w:t xml:space="preserve">with an investment cost </w:t>
      </w:r>
      <w:r w:rsidRPr="00B21B5C">
        <w:t>i</w:t>
      </w:r>
      <w:r>
        <w:t xml:space="preserve">n excess of £1m.  It is to be publically funded under the </w:t>
      </w:r>
      <w:proofErr w:type="spellStart"/>
      <w:r w:rsidRPr="00B21B5C">
        <w:t>NHSScotland</w:t>
      </w:r>
      <w:proofErr w:type="spellEnd"/>
      <w:r w:rsidRPr="00B21B5C">
        <w:t xml:space="preserve"> Frameworks Scotland2</w:t>
      </w:r>
      <w:r>
        <w:t xml:space="preserve"> arrangement, (further reasons and benefits of choosing this procurement route need to be added).</w:t>
      </w:r>
      <w:r w:rsidRPr="00B21B5C">
        <w:t xml:space="preserve"> </w:t>
      </w:r>
    </w:p>
    <w:p w:rsidR="007C16B4" w:rsidRDefault="007C16B4" w:rsidP="007C16B4">
      <w:pPr>
        <w:pStyle w:val="StandardBullet0"/>
      </w:pPr>
      <w:r>
        <w:t xml:space="preserve">This is a </w:t>
      </w:r>
      <w:r w:rsidRPr="00B21B5C">
        <w:t>community project</w:t>
      </w:r>
      <w:r>
        <w:t xml:space="preserve"> utilising the hub procurement initiative, (further reasons and benefits of choosing this procurement route need to be added).</w:t>
      </w:r>
      <w:r w:rsidRPr="00B21B5C">
        <w:t xml:space="preserve"> This is </w:t>
      </w:r>
      <w:r>
        <w:t>(either):</w:t>
      </w:r>
    </w:p>
    <w:p w:rsidR="007C16B4" w:rsidRPr="00136C4E" w:rsidRDefault="007C16B4" w:rsidP="007C16B4">
      <w:pPr>
        <w:pStyle w:val="Standardsubbullet"/>
        <w:spacing w:after="120"/>
        <w:ind w:left="1434" w:hanging="357"/>
        <w:rPr>
          <w:szCs w:val="24"/>
        </w:rPr>
      </w:pPr>
      <w:r>
        <w:rPr>
          <w:szCs w:val="24"/>
        </w:rPr>
        <w:lastRenderedPageBreak/>
        <w:t xml:space="preserve">A </w:t>
      </w:r>
      <w:r w:rsidRPr="00136C4E">
        <w:rPr>
          <w:szCs w:val="24"/>
        </w:rPr>
        <w:t xml:space="preserve">revenue funded </w:t>
      </w:r>
      <w:r>
        <w:rPr>
          <w:szCs w:val="24"/>
        </w:rPr>
        <w:t xml:space="preserve">project with </w:t>
      </w:r>
      <w:r w:rsidRPr="00136C4E">
        <w:rPr>
          <w:szCs w:val="24"/>
        </w:rPr>
        <w:t xml:space="preserve">a Design Build, Finance </w:t>
      </w:r>
      <w:r>
        <w:rPr>
          <w:szCs w:val="24"/>
        </w:rPr>
        <w:t>Manage (DBFM) contract arrangement.</w:t>
      </w:r>
    </w:p>
    <w:p w:rsidR="007C16B4" w:rsidRPr="0074472F" w:rsidRDefault="007C16B4" w:rsidP="0074472F">
      <w:pPr>
        <w:pStyle w:val="Standardsubbullet"/>
        <w:spacing w:after="120"/>
        <w:ind w:left="1434" w:hanging="357"/>
        <w:rPr>
          <w:szCs w:val="24"/>
        </w:rPr>
      </w:pPr>
      <w:r>
        <w:rPr>
          <w:szCs w:val="24"/>
        </w:rPr>
        <w:t xml:space="preserve">A </w:t>
      </w:r>
      <w:r w:rsidRPr="00136C4E">
        <w:rPr>
          <w:szCs w:val="24"/>
        </w:rPr>
        <w:t>public</w:t>
      </w:r>
      <w:r>
        <w:rPr>
          <w:szCs w:val="24"/>
        </w:rPr>
        <w:t xml:space="preserve"> </w:t>
      </w:r>
      <w:r w:rsidRPr="00136C4E">
        <w:rPr>
          <w:szCs w:val="24"/>
        </w:rPr>
        <w:t xml:space="preserve">capital funded </w:t>
      </w:r>
      <w:r>
        <w:rPr>
          <w:szCs w:val="24"/>
        </w:rPr>
        <w:t xml:space="preserve">project with </w:t>
      </w:r>
      <w:r w:rsidRPr="00136C4E">
        <w:rPr>
          <w:szCs w:val="24"/>
        </w:rPr>
        <w:t>a Design and Build option</w:t>
      </w:r>
      <w:r w:rsidR="0074472F">
        <w:rPr>
          <w:szCs w:val="24"/>
        </w:rPr>
        <w:t>.</w:t>
      </w:r>
    </w:p>
    <w:p w:rsidR="007C16B4" w:rsidRDefault="007C16B4" w:rsidP="007C16B4">
      <w:pPr>
        <w:pStyle w:val="StandardBullet0"/>
      </w:pPr>
      <w:r>
        <w:t xml:space="preserve">This project’s investment cost is </w:t>
      </w:r>
      <w:r w:rsidRPr="00B21B5C">
        <w:t xml:space="preserve">less than £1m </w:t>
      </w:r>
      <w:r>
        <w:t xml:space="preserve">and </w:t>
      </w:r>
      <w:r w:rsidRPr="00B21B5C">
        <w:t>utilise</w:t>
      </w:r>
      <w:r>
        <w:t>s</w:t>
      </w:r>
      <w:r w:rsidRPr="00B21B5C">
        <w:t xml:space="preserve"> local tendering as a preference</w:t>
      </w:r>
      <w:r>
        <w:t xml:space="preserve">, (incorporating </w:t>
      </w:r>
      <w:r w:rsidRPr="00B21B5C">
        <w:t>local framework arrangements</w:t>
      </w:r>
      <w:r>
        <w:t>)</w:t>
      </w:r>
      <w:r w:rsidRPr="00B21B5C">
        <w:t>.</w:t>
      </w:r>
    </w:p>
    <w:p w:rsidR="007C16B4" w:rsidRDefault="007C16B4" w:rsidP="007C16B4">
      <w:pPr>
        <w:pStyle w:val="StandardBullet0"/>
      </w:pPr>
      <w:r>
        <w:t>The project relates to an energy efficiency initiative and will utilise (either):</w:t>
      </w:r>
    </w:p>
    <w:p w:rsidR="007C16B4" w:rsidRDefault="007C16B4" w:rsidP="007C16B4">
      <w:pPr>
        <w:pStyle w:val="Standardsubbullet"/>
        <w:spacing w:after="120"/>
        <w:ind w:left="1434" w:hanging="357"/>
      </w:pPr>
      <w:r>
        <w:t>An energy performance contract.</w:t>
      </w:r>
    </w:p>
    <w:p w:rsidR="007C16B4" w:rsidRDefault="007C16B4" w:rsidP="007C16B4">
      <w:pPr>
        <w:pStyle w:val="Standardsubbullet"/>
        <w:spacing w:after="120"/>
        <w:ind w:left="1434" w:hanging="357"/>
      </w:pPr>
      <w:r>
        <w:t>Local tendering arrangements, as the project investment cost is less than £1m,</w:t>
      </w:r>
    </w:p>
    <w:p w:rsidR="007C16B4" w:rsidRPr="00B21B5C" w:rsidRDefault="007C16B4" w:rsidP="007C16B4">
      <w:pPr>
        <w:pStyle w:val="Standardsubbullet"/>
        <w:spacing w:after="120"/>
        <w:ind w:left="1434" w:hanging="357"/>
      </w:pPr>
      <w:r>
        <w:t>A capital works project, as the investment costs and scope of works is sufficient to meet the requirements of hub, Frameworks Scotland2, or other arrangements (specify).</w:t>
      </w:r>
    </w:p>
    <w:p w:rsidR="0074472F" w:rsidRDefault="007C16B4" w:rsidP="007C16B4">
      <w:pPr>
        <w:pStyle w:val="StandardParagraph"/>
      </w:pPr>
      <w:r>
        <w:t>All investment projects, including any individual arrangements not covered by the above, must comply with r</w:t>
      </w:r>
      <w:r w:rsidRPr="002443BE">
        <w:t>elevant Scottish Government procurement regulations</w:t>
      </w:r>
      <w:r w:rsidR="0074472F">
        <w:t>.</w:t>
      </w:r>
    </w:p>
    <w:p w:rsidR="007C16B4" w:rsidRPr="00F72B05" w:rsidRDefault="007C16B4" w:rsidP="007C16B4">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b/>
          <w:sz w:val="18"/>
          <w:szCs w:val="18"/>
        </w:rPr>
      </w:pPr>
    </w:p>
    <w:p w:rsidR="007C16B4" w:rsidRDefault="007C16B4" w:rsidP="007C16B4">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Cs w:val="26"/>
        </w:rPr>
      </w:pPr>
      <w:r>
        <w:br w:type="page"/>
      </w:r>
    </w:p>
    <w:p w:rsidR="007C16B4" w:rsidRDefault="007C16B4" w:rsidP="007C16B4">
      <w:pPr>
        <w:pStyle w:val="Heading2"/>
      </w:pPr>
      <w:r w:rsidRPr="00F72B05">
        <w:lastRenderedPageBreak/>
        <w:tab/>
        <w:t>EU Rules and Regulations</w:t>
      </w:r>
    </w:p>
    <w:p w:rsidR="007C16B4" w:rsidRDefault="007C16B4" w:rsidP="007C16B4">
      <w:pPr>
        <w:pStyle w:val="StandardParagraph"/>
      </w:pPr>
      <w:r>
        <w:t>Under hub and Frameworks Scotland2 there is no need to advertise in the</w:t>
      </w:r>
      <w:r w:rsidRPr="00D00781">
        <w:t xml:space="preserve"> </w:t>
      </w:r>
      <w:r>
        <w:t>OJEU, however, their particular procurement process recommendations must be followed.</w:t>
      </w:r>
    </w:p>
    <w:p w:rsidR="007C16B4" w:rsidRDefault="007C16B4" w:rsidP="007C16B4">
      <w:pPr>
        <w:pStyle w:val="StandardParagraph"/>
      </w:pPr>
      <w:r>
        <w:t xml:space="preserve">For any other </w:t>
      </w:r>
      <w:proofErr w:type="gramStart"/>
      <w:r>
        <w:t>procurements</w:t>
      </w:r>
      <w:proofErr w:type="gramEnd"/>
      <w:r>
        <w:t xml:space="preserve"> that sit above EU thresholds,</w:t>
      </w:r>
      <w:r w:rsidRPr="003B2D2D">
        <w:t xml:space="preserve"> </w:t>
      </w:r>
      <w:r>
        <w:t>i</w:t>
      </w:r>
      <w:r w:rsidRPr="003B2D2D">
        <w:t>t is</w:t>
      </w:r>
      <w:r>
        <w:t xml:space="preserve"> obligatory to advertise in the Official Journal of the European Journal (OJEU). If the sum is below the threshold, advertisements may be placed in trade periodicals and national/ local newspapers as deemed suitable. When applicable, the draft OJEU notice should be attached to the OBC, which must have been reviewed and approved by legal and procurement experts.</w:t>
      </w:r>
    </w:p>
    <w:p w:rsidR="007C16B4" w:rsidRDefault="007C16B4" w:rsidP="007C16B4">
      <w:pPr>
        <w:pStyle w:val="Heading2"/>
      </w:pPr>
      <w:r>
        <w:t>Procurement</w:t>
      </w:r>
      <w:r w:rsidRPr="003B2D2D">
        <w:t xml:space="preserve"> </w:t>
      </w:r>
      <w:r>
        <w:t>Plan</w:t>
      </w:r>
    </w:p>
    <w:p w:rsidR="007C16B4" w:rsidRDefault="007C16B4" w:rsidP="007C16B4">
      <w:pPr>
        <w:pStyle w:val="StandardParagraph"/>
      </w:pPr>
      <w:r>
        <w:t>An outline of the project’s procurement plan is required which highlights the project’s current procurement status, making clear what has already been achieved and what still needs to be done.  It will cover the appointment of the Preferred Partner / Contractor, as well as any external advisors, and will detail either</w:t>
      </w:r>
      <w:r w:rsidR="00F65831">
        <w:t xml:space="preserve"> of</w:t>
      </w:r>
      <w:r>
        <w:t>:</w:t>
      </w:r>
    </w:p>
    <w:p w:rsidR="007C16B4" w:rsidRDefault="007C16B4" w:rsidP="00F65831">
      <w:pPr>
        <w:pStyle w:val="Standardbullet"/>
      </w:pPr>
      <w:r>
        <w:t xml:space="preserve">The planned </w:t>
      </w:r>
      <w:r w:rsidRPr="00B21B5C">
        <w:t>procurement</w:t>
      </w:r>
      <w:r>
        <w:t xml:space="preserve"> process,</w:t>
      </w:r>
      <w:r w:rsidRPr="00B21B5C">
        <w:t xml:space="preserve"> </w:t>
      </w:r>
      <w:r>
        <w:t xml:space="preserve">setting out the general approach to be taken and the procurement timetable to be followed. </w:t>
      </w:r>
    </w:p>
    <w:p w:rsidR="007C16B4" w:rsidRPr="00B21B5C" w:rsidRDefault="007C16B4" w:rsidP="00F65831">
      <w:pPr>
        <w:pStyle w:val="Standardbullet"/>
      </w:pPr>
      <w:r w:rsidRPr="00B21B5C">
        <w:t xml:space="preserve">The </w:t>
      </w:r>
      <w:r>
        <w:t xml:space="preserve">selection </w:t>
      </w:r>
      <w:r w:rsidRPr="00B21B5C">
        <w:t>process followed</w:t>
      </w:r>
      <w:r>
        <w:t>,</w:t>
      </w:r>
      <w:r w:rsidRPr="00B21B5C">
        <w:t xml:space="preserve"> including the evaluation criteria used and a summary of the scoring and </w:t>
      </w:r>
      <w:r>
        <w:t>general approach taken</w:t>
      </w:r>
      <w:r w:rsidRPr="00B21B5C">
        <w:t>.</w:t>
      </w:r>
    </w:p>
    <w:p w:rsidR="007C16B4" w:rsidRDefault="007C16B4" w:rsidP="007C16B4">
      <w:pPr>
        <w:pStyle w:val="StandardParagraph"/>
      </w:pPr>
      <w:r>
        <w:t>There is a legal requirement to have agreed the evaluation criteria prior to the formal commencement of procurement, which needs to have been reviewed and approved by legal and procurement experts.</w:t>
      </w:r>
      <w:r w:rsidRPr="00450357">
        <w:t xml:space="preserve"> </w:t>
      </w:r>
      <w:r>
        <w:t>The evaluation criteria used should be attached to the OBC.</w:t>
      </w:r>
    </w:p>
    <w:p w:rsidR="007C16B4" w:rsidRDefault="007C16B4" w:rsidP="007C16B4">
      <w:pPr>
        <w:pStyle w:val="StandardParagraph"/>
      </w:pPr>
      <w:r>
        <w:t>The general approach (to be) taken will need to comply with one of the following:</w:t>
      </w:r>
    </w:p>
    <w:p w:rsidR="007C16B4" w:rsidRDefault="0074472F" w:rsidP="007C16B4">
      <w:pPr>
        <w:pStyle w:val="Heading3"/>
        <w:spacing w:after="120"/>
      </w:pPr>
      <w:r>
        <w:t>Frameworks Scotland</w:t>
      </w:r>
      <w:r w:rsidR="007C16B4">
        <w:t>2 Procurement</w:t>
      </w:r>
    </w:p>
    <w:p w:rsidR="007C16B4" w:rsidRDefault="0074472F" w:rsidP="007C16B4">
      <w:pPr>
        <w:pStyle w:val="StandardParagraph"/>
      </w:pPr>
      <w:r>
        <w:t>Under Frameworks Scotland</w:t>
      </w:r>
      <w:r w:rsidR="007C16B4" w:rsidRPr="000452D9">
        <w:t xml:space="preserve">2 </w:t>
      </w:r>
      <w:r w:rsidR="007C16B4">
        <w:t>there are two guidance documents for the appointment of PSCPs and PSCs for all projects detailed in: ‘Selection Processes for NHS Clients’.</w:t>
      </w:r>
    </w:p>
    <w:p w:rsidR="007C16B4" w:rsidRDefault="007C16B4" w:rsidP="007C16B4">
      <w:pPr>
        <w:pStyle w:val="StandardParagraph"/>
      </w:pPr>
      <w:r>
        <w:lastRenderedPageBreak/>
        <w:t>It should be noted that a two stage process can be applied for both PSCPs and PSCs, with the first stage being a qualitative submission and the second stage a pricing proposal.</w:t>
      </w:r>
    </w:p>
    <w:p w:rsidR="007C16B4" w:rsidRPr="00C00951" w:rsidRDefault="007C16B4" w:rsidP="007C16B4">
      <w:pPr>
        <w:pStyle w:val="StandardParagraph"/>
      </w:pPr>
      <w:r w:rsidRPr="002F2C85">
        <w:t>F</w:t>
      </w:r>
      <w:r w:rsidR="0074472F">
        <w:t>urther advice and guidance on Frameworks Scotland</w:t>
      </w:r>
      <w:r w:rsidRPr="002F2C85">
        <w:t xml:space="preserve">2 </w:t>
      </w:r>
      <w:r w:rsidR="0074472F">
        <w:t xml:space="preserve">is available from the Frameworks team at NHS National Services Scotland. </w:t>
      </w:r>
    </w:p>
    <w:p w:rsidR="007C16B4" w:rsidRDefault="007C16B4" w:rsidP="007C16B4">
      <w:pPr>
        <w:pStyle w:val="Heading3"/>
        <w:spacing w:after="120"/>
      </w:pPr>
      <w:proofErr w:type="gramStart"/>
      <w:r>
        <w:t>hub</w:t>
      </w:r>
      <w:proofErr w:type="gramEnd"/>
      <w:r>
        <w:t xml:space="preserve"> Procurement</w:t>
      </w:r>
    </w:p>
    <w:p w:rsidR="007C16B4" w:rsidRPr="002F2C85" w:rsidRDefault="007C16B4" w:rsidP="007C16B4">
      <w:pPr>
        <w:pStyle w:val="StandardParagraph"/>
      </w:pPr>
      <w:r>
        <w:t xml:space="preserve">Under the hub initiative there are five designated hub territories in Scotland: North, South East, West, East Central and South West. These are joint venture type arrangements between the local public sector organisations (the Participants) and the private sector (the hub company – </w:t>
      </w:r>
      <w:proofErr w:type="spellStart"/>
      <w:r>
        <w:t>hubCo</w:t>
      </w:r>
      <w:proofErr w:type="spellEnd"/>
      <w:r>
        <w:t>).</w:t>
      </w:r>
    </w:p>
    <w:p w:rsidR="007C16B4" w:rsidRDefault="007C16B4" w:rsidP="007C16B4">
      <w:pPr>
        <w:pStyle w:val="StandardParagraph"/>
      </w:pPr>
      <w:r>
        <w:t xml:space="preserve">The long term partnership between the Participants and a </w:t>
      </w:r>
      <w:proofErr w:type="spellStart"/>
      <w:r>
        <w:t>hubCo</w:t>
      </w:r>
      <w:proofErr w:type="spellEnd"/>
      <w:r>
        <w:t xml:space="preserve"> offers a flexible procurement route for the delivery of community infrastructure.  The appointed private sector development partner will be able to source the required expertise to provide a wide range of construction solutions.</w:t>
      </w:r>
    </w:p>
    <w:p w:rsidR="007C16B4" w:rsidRDefault="007C16B4" w:rsidP="007C16B4">
      <w:pPr>
        <w:pStyle w:val="StandardParagraph"/>
        <w:rPr>
          <w:rFonts w:cs="Arial"/>
          <w:szCs w:val="24"/>
        </w:rPr>
      </w:pPr>
      <w:r>
        <w:t xml:space="preserve">There is an agreed staged process for project development and delivery.  </w:t>
      </w:r>
      <w:r w:rsidRPr="00206A6D">
        <w:t xml:space="preserve">Further </w:t>
      </w:r>
      <w:r w:rsidR="002772B2">
        <w:t xml:space="preserve">advice and </w:t>
      </w:r>
      <w:r w:rsidRPr="00206A6D">
        <w:t xml:space="preserve">guidance </w:t>
      </w:r>
      <w:r w:rsidR="002772B2">
        <w:t>is available from Scottish Futures Trust.</w:t>
      </w:r>
      <w:r w:rsidR="002772B2">
        <w:rPr>
          <w:rFonts w:cs="Arial"/>
          <w:szCs w:val="24"/>
        </w:rPr>
        <w:t xml:space="preserve"> </w:t>
      </w:r>
    </w:p>
    <w:p w:rsidR="007C16B4" w:rsidRDefault="007C16B4" w:rsidP="007C16B4">
      <w:pPr>
        <w:pStyle w:val="Heading3"/>
        <w:spacing w:after="120"/>
      </w:pPr>
      <w:r>
        <w:t>External Advisor Procurement</w:t>
      </w:r>
    </w:p>
    <w:p w:rsidR="007C16B4" w:rsidRDefault="007C16B4" w:rsidP="007C16B4">
      <w:pPr>
        <w:pStyle w:val="StandardParagraph"/>
      </w:pPr>
      <w:r>
        <w:t xml:space="preserve">There are separate national Technical, Legal, and Financial Advisor Frameworks for hub that allows </w:t>
      </w:r>
      <w:proofErr w:type="spellStart"/>
      <w:r>
        <w:t>NHSScotland</w:t>
      </w:r>
      <w:proofErr w:type="spellEnd"/>
      <w:r>
        <w:t xml:space="preserve"> and other public bodies to select advisors through a mini competition process.  These are administered by Scottish Futures Trust.</w:t>
      </w:r>
    </w:p>
    <w:p w:rsidR="007C16B4" w:rsidRDefault="007C16B4" w:rsidP="007C16B4">
      <w:pPr>
        <w:pStyle w:val="StandardParagraph"/>
      </w:pPr>
      <w:r>
        <w:t>There are also separate Technical / Design Advisor frameworks administered through Frameworks Scotland2.</w:t>
      </w:r>
    </w:p>
    <w:p w:rsidR="007C16B4" w:rsidRPr="00C00951" w:rsidRDefault="007C16B4" w:rsidP="007C16B4">
      <w:pPr>
        <w:pStyle w:val="StandardParagraph"/>
      </w:pPr>
      <w:r>
        <w:t>T</w:t>
      </w:r>
      <w:r w:rsidRPr="00047D30">
        <w:t xml:space="preserve">he OBC </w:t>
      </w:r>
      <w:r>
        <w:t xml:space="preserve">shall outline </w:t>
      </w:r>
      <w:r w:rsidRPr="00047D30">
        <w:t xml:space="preserve">the </w:t>
      </w:r>
      <w:r>
        <w:t>status, process applied, and planning for any procurement of external advisors.</w:t>
      </w:r>
    </w:p>
    <w:p w:rsidR="007C16B4" w:rsidRPr="002F1FEC" w:rsidRDefault="007C16B4" w:rsidP="007C16B4">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Cs w:val="26"/>
        </w:rPr>
      </w:pPr>
      <w:r w:rsidRPr="00504080">
        <w:rPr>
          <w:color w:val="FF0000"/>
        </w:rPr>
        <w:br w:type="page"/>
      </w:r>
    </w:p>
    <w:p w:rsidR="007C16B4" w:rsidRDefault="007F6BBC" w:rsidP="007C16B4">
      <w:pPr>
        <w:pStyle w:val="Heading1"/>
      </w:pPr>
      <w:r>
        <w:rPr>
          <w:noProof/>
          <w:lang w:eastAsia="en-GB"/>
        </w:rPr>
        <w:lastRenderedPageBreak/>
        <w:pict>
          <v:group id="_x0000_s1531" style="position:absolute;left:0;text-align:left;margin-left:14.25pt;margin-top:38.6pt;width:381.75pt;height:126.55pt;z-index:251884544" coordorigin="1725,2329" coordsize="7635,2531">
            <v:rect id="_x0000_s1532" style="position:absolute;left:5280;top:2329;width:4080;height:453;v-text-anchor:middle" fillcolor="#31849b [2408]">
              <v:textbox style="mso-next-textbox:#_x0000_s1532">
                <w:txbxContent>
                  <w:p w:rsidR="003863F9" w:rsidRPr="005B3097" w:rsidRDefault="003863F9" w:rsidP="007C16B4">
                    <w:pPr>
                      <w:spacing w:line="240" w:lineRule="auto"/>
                      <w:jc w:val="center"/>
                      <w:rPr>
                        <w:rFonts w:cs="Arial"/>
                        <w:b/>
                        <w:szCs w:val="24"/>
                      </w:rPr>
                    </w:pPr>
                    <w:r w:rsidRPr="005B3097">
                      <w:rPr>
                        <w:rFonts w:cs="Arial"/>
                        <w:b/>
                        <w:szCs w:val="24"/>
                      </w:rPr>
                      <w:t>Response</w:t>
                    </w:r>
                  </w:p>
                </w:txbxContent>
              </v:textbox>
            </v:rect>
            <v:rect id="_x0000_s1533" style="position:absolute;left:2650;top:2329;width:2314;height:453;v-text-anchor:middle" fillcolor="#31849b [2408]">
              <v:textbox style="mso-next-textbox:#_x0000_s1533">
                <w:txbxContent>
                  <w:p w:rsidR="003863F9" w:rsidRPr="005B3097" w:rsidRDefault="003863F9" w:rsidP="007C16B4">
                    <w:pPr>
                      <w:spacing w:line="240" w:lineRule="auto"/>
                      <w:jc w:val="center"/>
                      <w:rPr>
                        <w:rFonts w:cs="Arial"/>
                        <w:b/>
                        <w:szCs w:val="24"/>
                      </w:rPr>
                    </w:pPr>
                    <w:r w:rsidRPr="005B3097">
                      <w:rPr>
                        <w:rFonts w:cs="Arial"/>
                        <w:b/>
                        <w:szCs w:val="24"/>
                      </w:rPr>
                      <w:t>Question</w:t>
                    </w:r>
                  </w:p>
                </w:txbxContent>
              </v:textbox>
            </v:rect>
            <v:rect id="_x0000_s1534" style="position:absolute;left:1725;top:3031;width:694;height:1829;v-text-anchor:middle" fillcolor="#bfbfbf [2412]">
              <v:textbox style="layout-flow:vertical;mso-layout-flow-alt:bottom-to-top;mso-next-textbox:#_x0000_s1534">
                <w:txbxContent>
                  <w:p w:rsidR="003863F9" w:rsidRPr="005B3097" w:rsidRDefault="003863F9" w:rsidP="007C16B4">
                    <w:pPr>
                      <w:spacing w:line="240" w:lineRule="auto"/>
                      <w:jc w:val="center"/>
                      <w:rPr>
                        <w:rFonts w:cs="Arial"/>
                        <w:b/>
                        <w:sz w:val="18"/>
                        <w:szCs w:val="18"/>
                      </w:rPr>
                    </w:pPr>
                    <w:r>
                      <w:rPr>
                        <w:rFonts w:cs="Arial"/>
                        <w:b/>
                        <w:sz w:val="18"/>
                        <w:szCs w:val="18"/>
                      </w:rPr>
                      <w:t>Scope of Works and Services</w:t>
                    </w:r>
                  </w:p>
                </w:txbxContent>
              </v:textbox>
            </v:rect>
            <v:rect id="_x0000_s1535" style="position:absolute;left:2650;top:3031;width:2390;height:1829;v-text-anchor:middle">
              <v:textbox style="mso-next-textbox:#_x0000_s1535">
                <w:txbxContent>
                  <w:p w:rsidR="003863F9" w:rsidRPr="00203446" w:rsidRDefault="003863F9" w:rsidP="007C16B4">
                    <w:pPr>
                      <w:spacing w:before="240" w:after="120" w:line="240" w:lineRule="auto"/>
                      <w:jc w:val="left"/>
                      <w:rPr>
                        <w:rFonts w:cs="Arial"/>
                        <w:sz w:val="20"/>
                      </w:rPr>
                    </w:pPr>
                    <w:r>
                      <w:rPr>
                        <w:rFonts w:cs="Arial"/>
                        <w:sz w:val="20"/>
                      </w:rPr>
                      <w:t>What is the scope and content of the proposed commercial arrangements</w:t>
                    </w:r>
                    <w:r w:rsidRPr="00203446">
                      <w:rPr>
                        <w:rFonts w:cs="Arial"/>
                        <w:sz w:val="20"/>
                      </w:rPr>
                      <w:t>?</w:t>
                    </w:r>
                  </w:p>
                  <w:p w:rsidR="003863F9" w:rsidRPr="00770637" w:rsidRDefault="003863F9" w:rsidP="007C16B4">
                    <w:pPr>
                      <w:rPr>
                        <w:szCs w:val="24"/>
                      </w:rPr>
                    </w:pPr>
                  </w:p>
                </w:txbxContent>
              </v:textbox>
            </v:rect>
            <v:rect id="_x0000_s1536" style="position:absolute;left:5280;top:3031;width:4080;height:1829;v-text-anchor:middle">
              <v:textbox style="mso-next-textbox:#_x0000_s1536">
                <w:txbxContent>
                  <w:p w:rsidR="003863F9" w:rsidRPr="00770637" w:rsidRDefault="003863F9" w:rsidP="007C16B4">
                    <w:pPr>
                      <w:spacing w:before="60" w:after="60" w:line="240" w:lineRule="auto"/>
                      <w:jc w:val="left"/>
                      <w:rPr>
                        <w:rFonts w:cs="Arial"/>
                        <w:sz w:val="20"/>
                      </w:rPr>
                    </w:pPr>
                    <w:r w:rsidRPr="00770637">
                      <w:rPr>
                        <w:rFonts w:cs="Arial"/>
                        <w:sz w:val="20"/>
                      </w:rPr>
                      <w:t>Outline:</w:t>
                    </w:r>
                  </w:p>
                  <w:p w:rsidR="003863F9" w:rsidRDefault="003863F9" w:rsidP="007C16B4">
                    <w:pPr>
                      <w:pStyle w:val="ListParagraph"/>
                      <w:numPr>
                        <w:ilvl w:val="0"/>
                        <w:numId w:val="11"/>
                      </w:numPr>
                      <w:spacing w:before="60" w:after="60" w:line="240" w:lineRule="auto"/>
                      <w:rPr>
                        <w:sz w:val="20"/>
                      </w:rPr>
                    </w:pPr>
                    <w:r>
                      <w:rPr>
                        <w:sz w:val="20"/>
                      </w:rPr>
                      <w:t>Scope &amp; content of included services</w:t>
                    </w:r>
                  </w:p>
                  <w:p w:rsidR="003863F9" w:rsidRDefault="003863F9" w:rsidP="007C16B4">
                    <w:pPr>
                      <w:pStyle w:val="ListParagraph"/>
                      <w:numPr>
                        <w:ilvl w:val="0"/>
                        <w:numId w:val="11"/>
                      </w:numPr>
                      <w:spacing w:before="60" w:after="60" w:line="240" w:lineRule="auto"/>
                      <w:rPr>
                        <w:sz w:val="20"/>
                      </w:rPr>
                    </w:pPr>
                    <w:r>
                      <w:rPr>
                        <w:sz w:val="20"/>
                      </w:rPr>
                      <w:t>Scope of building works</w:t>
                    </w:r>
                  </w:p>
                  <w:p w:rsidR="003863F9" w:rsidRPr="00C00951" w:rsidRDefault="003863F9" w:rsidP="007C16B4">
                    <w:pPr>
                      <w:pStyle w:val="ListParagraph"/>
                      <w:numPr>
                        <w:ilvl w:val="0"/>
                        <w:numId w:val="11"/>
                      </w:numPr>
                      <w:spacing w:before="60" w:after="60" w:line="240" w:lineRule="auto"/>
                      <w:rPr>
                        <w:sz w:val="20"/>
                      </w:rPr>
                    </w:pPr>
                    <w:r>
                      <w:rPr>
                        <w:sz w:val="20"/>
                      </w:rPr>
                      <w:t>Scope of other works</w:t>
                    </w:r>
                  </w:p>
                  <w:p w:rsidR="003863F9" w:rsidRPr="00C00951" w:rsidRDefault="003863F9" w:rsidP="007C16B4">
                    <w:pPr>
                      <w:rPr>
                        <w:sz w:val="20"/>
                      </w:rPr>
                    </w:pPr>
                  </w:p>
                </w:txbxContent>
              </v:textbox>
            </v:rect>
            <w10:wrap type="topAndBottom"/>
          </v:group>
        </w:pict>
      </w:r>
      <w:r w:rsidR="007C16B4">
        <w:t>Scope and Content of Proposed Commercial Arrangements</w:t>
      </w:r>
    </w:p>
    <w:p w:rsidR="007C16B4" w:rsidRDefault="007C16B4" w:rsidP="007C16B4">
      <w:pPr>
        <w:pStyle w:val="NoSpacing"/>
      </w:pPr>
    </w:p>
    <w:p w:rsidR="007C16B4" w:rsidRDefault="007C16B4" w:rsidP="007C16B4">
      <w:pPr>
        <w:pStyle w:val="StandardParagraph"/>
      </w:pPr>
      <w:r w:rsidRPr="00277FC4">
        <w:t xml:space="preserve">The purpose of this </w:t>
      </w:r>
      <w:r>
        <w:t xml:space="preserve">section </w:t>
      </w:r>
      <w:r w:rsidRPr="00277FC4">
        <w:t xml:space="preserve">is to specify the scope and </w:t>
      </w:r>
      <w:r>
        <w:t>c</w:t>
      </w:r>
      <w:r w:rsidRPr="00277FC4">
        <w:t>ontent of</w:t>
      </w:r>
      <w:r>
        <w:t xml:space="preserve"> </w:t>
      </w:r>
      <w:r w:rsidRPr="00277FC4">
        <w:t xml:space="preserve">the </w:t>
      </w:r>
      <w:r>
        <w:t>proposed works / services included within the proposed commercial arrangements.  Note that this may be different from the scope and content of the overall project which may include works or services that are not part of any commercial arrangements</w:t>
      </w:r>
      <w:r w:rsidR="002772B2">
        <w:t xml:space="preserve"> e.g. internal service arrangements.</w:t>
      </w:r>
      <w:r>
        <w:t xml:space="preserve"> </w:t>
      </w:r>
    </w:p>
    <w:p w:rsidR="007C16B4" w:rsidRDefault="002772B2" w:rsidP="007C16B4">
      <w:pPr>
        <w:pStyle w:val="Heading2"/>
      </w:pPr>
      <w:r>
        <w:t xml:space="preserve">Scope of </w:t>
      </w:r>
      <w:r w:rsidR="007C16B4">
        <w:t>Services</w:t>
      </w:r>
    </w:p>
    <w:p w:rsidR="007C16B4" w:rsidRPr="00893699" w:rsidRDefault="007C16B4" w:rsidP="007C16B4">
      <w:pPr>
        <w:pStyle w:val="StandardParagraph"/>
      </w:pPr>
      <w:r>
        <w:t>This section should describe</w:t>
      </w:r>
      <w:r w:rsidR="002772B2">
        <w:t xml:space="preserve"> (or reference other documents where this information is contained)</w:t>
      </w:r>
      <w:r>
        <w:t xml:space="preserve"> the scope and content of </w:t>
      </w:r>
      <w:r w:rsidR="002772B2">
        <w:t xml:space="preserve">any </w:t>
      </w:r>
      <w:r>
        <w:t>services included within the proposed commercial arrangement</w:t>
      </w:r>
      <w:r w:rsidR="002772B2">
        <w:t>s</w:t>
      </w:r>
      <w:r>
        <w:t xml:space="preserve">.  The following information </w:t>
      </w:r>
      <w:r w:rsidR="002772B2">
        <w:t xml:space="preserve">will be needed </w:t>
      </w:r>
      <w:r>
        <w:t xml:space="preserve">to </w:t>
      </w:r>
      <w:r w:rsidR="002772B2">
        <w:t>fully outline this scope:</w:t>
      </w:r>
    </w:p>
    <w:p w:rsidR="007C16B4" w:rsidRDefault="007C16B4" w:rsidP="007C16B4">
      <w:pPr>
        <w:pStyle w:val="StandardBullet0"/>
      </w:pPr>
      <w:r>
        <w:t>A description of the services to be included in the commercial arrangements.</w:t>
      </w:r>
    </w:p>
    <w:p w:rsidR="007C16B4" w:rsidRDefault="002772B2" w:rsidP="007C16B4">
      <w:pPr>
        <w:pStyle w:val="StandardBullet0"/>
      </w:pPr>
      <w:r>
        <w:t>A summary of</w:t>
      </w:r>
      <w:r w:rsidR="007C16B4">
        <w:t xml:space="preserve"> existing and proposed service activities</w:t>
      </w:r>
      <w:r>
        <w:t xml:space="preserve"> and/or arrangements</w:t>
      </w:r>
      <w:r w:rsidR="007C16B4">
        <w:t>.</w:t>
      </w:r>
    </w:p>
    <w:p w:rsidR="007C16B4" w:rsidRDefault="007C16B4" w:rsidP="007C16B4">
      <w:pPr>
        <w:pStyle w:val="StandardBullet0"/>
      </w:pPr>
      <w:r>
        <w:t>The service standards to be set within the commercial arrangements; including essential outputs, important performance measures, and any other quality standards expected.</w:t>
      </w:r>
    </w:p>
    <w:p w:rsidR="007C16B4" w:rsidRDefault="007C16B4" w:rsidP="007C16B4">
      <w:pPr>
        <w:pStyle w:val="StandardBullet0"/>
      </w:pPr>
      <w:r>
        <w:t>The specification of these required outputs.</w:t>
      </w:r>
    </w:p>
    <w:p w:rsidR="007C16B4" w:rsidRDefault="007C16B4" w:rsidP="007C16B4">
      <w:pPr>
        <w:pStyle w:val="StandardBullet0"/>
      </w:pPr>
      <w:r>
        <w:t xml:space="preserve">A summary of stakeholders and customers </w:t>
      </w:r>
      <w:r w:rsidR="002772B2">
        <w:t xml:space="preserve">associated with </w:t>
      </w:r>
      <w:r>
        <w:t>these services.</w:t>
      </w:r>
    </w:p>
    <w:p w:rsidR="007C16B4" w:rsidRDefault="007C16B4" w:rsidP="007C16B4">
      <w:pPr>
        <w:pStyle w:val="StandardBullet0"/>
      </w:pPr>
      <w:r>
        <w:t>The poss</w:t>
      </w:r>
      <w:r w:rsidR="002772B2">
        <w:t>ibility for changing any</w:t>
      </w:r>
      <w:r>
        <w:t xml:space="preserve"> assumptions in the solution offered.</w:t>
      </w:r>
    </w:p>
    <w:p w:rsidR="007C16B4" w:rsidRDefault="007C16B4" w:rsidP="007C16B4">
      <w:pPr>
        <w:pStyle w:val="StandardBullet0"/>
      </w:pPr>
      <w:r>
        <w:lastRenderedPageBreak/>
        <w:t>Any potential future changes external to this project that might affect any of the above.</w:t>
      </w:r>
    </w:p>
    <w:p w:rsidR="007C16B4" w:rsidRDefault="007C16B4" w:rsidP="007C16B4">
      <w:pPr>
        <w:pStyle w:val="StandardBullet0"/>
      </w:pPr>
      <w:r>
        <w:t>The timescales for procuring and delivering these services</w:t>
      </w:r>
      <w:r w:rsidR="002772B2">
        <w:t>.</w:t>
      </w:r>
    </w:p>
    <w:p w:rsidR="007C16B4" w:rsidRDefault="002772B2" w:rsidP="007C16B4">
      <w:pPr>
        <w:pStyle w:val="Heading2"/>
      </w:pPr>
      <w:r>
        <w:t>Scope of building works</w:t>
      </w:r>
    </w:p>
    <w:p w:rsidR="007C16B4" w:rsidRPr="003B170A" w:rsidRDefault="002772B2" w:rsidP="007C16B4">
      <w:pPr>
        <w:pStyle w:val="StandardParagraph"/>
        <w:rPr>
          <w:color w:val="000000" w:themeColor="text1"/>
        </w:rPr>
      </w:pPr>
      <w:r>
        <w:rPr>
          <w:color w:val="000000" w:themeColor="text1"/>
        </w:rPr>
        <w:t>For building</w:t>
      </w:r>
      <w:r w:rsidR="007C16B4" w:rsidRPr="003B170A">
        <w:rPr>
          <w:color w:val="000000" w:themeColor="text1"/>
        </w:rPr>
        <w:t xml:space="preserve"> related projects reference should be made to the </w:t>
      </w:r>
      <w:proofErr w:type="spellStart"/>
      <w:r w:rsidR="007C16B4" w:rsidRPr="003B170A">
        <w:rPr>
          <w:color w:val="000000" w:themeColor="text1"/>
        </w:rPr>
        <w:t>NHSScotland</w:t>
      </w:r>
      <w:proofErr w:type="spellEnd"/>
      <w:r w:rsidR="007C16B4" w:rsidRPr="003B170A">
        <w:rPr>
          <w:color w:val="000000" w:themeColor="text1"/>
        </w:rPr>
        <w:t xml:space="preserve"> Design</w:t>
      </w:r>
      <w:r w:rsidR="007C16B4">
        <w:rPr>
          <w:color w:val="000000" w:themeColor="text1"/>
        </w:rPr>
        <w:t xml:space="preserve"> Assessment Process (NDAP)</w:t>
      </w:r>
      <w:r>
        <w:rPr>
          <w:color w:val="000000" w:themeColor="text1"/>
        </w:rPr>
        <w:t xml:space="preserve"> and related information requirements.  A summary is needed within the OBC of </w:t>
      </w:r>
      <w:r w:rsidR="007C16B4" w:rsidRPr="003B170A">
        <w:rPr>
          <w:color w:val="000000" w:themeColor="text1"/>
        </w:rPr>
        <w:t>the assessment observations</w:t>
      </w:r>
      <w:r w:rsidR="00B76458">
        <w:rPr>
          <w:color w:val="000000" w:themeColor="text1"/>
        </w:rPr>
        <w:t>,</w:t>
      </w:r>
      <w:r w:rsidR="00FA41F3">
        <w:rPr>
          <w:color w:val="000000" w:themeColor="text1"/>
        </w:rPr>
        <w:t xml:space="preserve"> the Board’s</w:t>
      </w:r>
      <w:r w:rsidR="00263301">
        <w:rPr>
          <w:color w:val="000000" w:themeColor="text1"/>
        </w:rPr>
        <w:t xml:space="preserve"> compliance / response to the</w:t>
      </w:r>
      <w:r w:rsidR="007C16B4" w:rsidRPr="003B170A">
        <w:rPr>
          <w:color w:val="000000" w:themeColor="text1"/>
        </w:rPr>
        <w:t xml:space="preserve"> </w:t>
      </w:r>
      <w:r w:rsidR="00B76458">
        <w:rPr>
          <w:color w:val="000000" w:themeColor="text1"/>
        </w:rPr>
        <w:t xml:space="preserve">advisory &amp; essential </w:t>
      </w:r>
      <w:r w:rsidR="007C16B4" w:rsidRPr="003B170A">
        <w:rPr>
          <w:color w:val="000000" w:themeColor="text1"/>
        </w:rPr>
        <w:t>recommendations</w:t>
      </w:r>
      <w:r w:rsidR="00FA41F3">
        <w:rPr>
          <w:color w:val="000000" w:themeColor="text1"/>
        </w:rPr>
        <w:t>, and details of any site identification &amp; assessment process carried out</w:t>
      </w:r>
      <w:r w:rsidR="007C16B4" w:rsidRPr="003B170A">
        <w:rPr>
          <w:color w:val="000000" w:themeColor="text1"/>
        </w:rPr>
        <w:t>.  The NDAP guidance document and SCIM process diagrams provide further in</w:t>
      </w:r>
      <w:r w:rsidR="00F65831">
        <w:rPr>
          <w:color w:val="000000" w:themeColor="text1"/>
        </w:rPr>
        <w:t>formation on required building and</w:t>
      </w:r>
      <w:r w:rsidR="007C16B4" w:rsidRPr="003B170A">
        <w:rPr>
          <w:color w:val="000000" w:themeColor="text1"/>
        </w:rPr>
        <w:t xml:space="preserve"> engineering design standards and the information expect</w:t>
      </w:r>
      <w:r w:rsidR="007C16B4">
        <w:rPr>
          <w:color w:val="000000" w:themeColor="text1"/>
        </w:rPr>
        <w:t>ations to accompany any OBC submission</w:t>
      </w:r>
      <w:r w:rsidR="007C16B4" w:rsidRPr="003B170A">
        <w:rPr>
          <w:color w:val="000000" w:themeColor="text1"/>
        </w:rPr>
        <w:t>.</w:t>
      </w:r>
      <w:r w:rsidR="007C16B4">
        <w:rPr>
          <w:color w:val="000000" w:themeColor="text1"/>
        </w:rPr>
        <w:t xml:space="preserve">  All information should comply, where appropriate, with the Building Information Modelling requirements for this stage of project development.</w:t>
      </w:r>
    </w:p>
    <w:p w:rsidR="00F65831" w:rsidRDefault="00F65831" w:rsidP="00F65831">
      <w:pPr>
        <w:pStyle w:val="Heading2"/>
      </w:pPr>
      <w:r>
        <w:t>Scope of other works</w:t>
      </w:r>
    </w:p>
    <w:p w:rsidR="00F65831" w:rsidRDefault="007C16B4" w:rsidP="007C16B4">
      <w:pPr>
        <w:pStyle w:val="StandardParagraph"/>
        <w:rPr>
          <w:color w:val="000000" w:themeColor="text1"/>
        </w:rPr>
      </w:pPr>
      <w:r w:rsidRPr="003B170A">
        <w:rPr>
          <w:color w:val="000000" w:themeColor="text1"/>
        </w:rPr>
        <w:t xml:space="preserve">For non-building related </w:t>
      </w:r>
      <w:r w:rsidR="00F65831">
        <w:rPr>
          <w:color w:val="000000" w:themeColor="text1"/>
        </w:rPr>
        <w:t xml:space="preserve">assets (e.g. medical equipment); or other types of investment </w:t>
      </w:r>
      <w:r w:rsidRPr="003B170A">
        <w:rPr>
          <w:color w:val="000000" w:themeColor="text1"/>
        </w:rPr>
        <w:t>projects, a similar</w:t>
      </w:r>
      <w:r w:rsidR="00F65831">
        <w:rPr>
          <w:color w:val="000000" w:themeColor="text1"/>
        </w:rPr>
        <w:t xml:space="preserve"> overview is required within the Outline Business Case with accompanying reference to further information which fully outlines the scope and content of the commercial arrangements to be procured. </w:t>
      </w:r>
    </w:p>
    <w:p w:rsidR="007C16B4" w:rsidRDefault="007C16B4" w:rsidP="007C16B4">
      <w:pPr>
        <w:pStyle w:val="StandardParagraph"/>
      </w:pPr>
    </w:p>
    <w:p w:rsidR="007C16B4" w:rsidRPr="00395B6C" w:rsidRDefault="007C16B4" w:rsidP="007C16B4">
      <w:pPr>
        <w:pStyle w:val="StandardParagraph"/>
      </w:pPr>
    </w:p>
    <w:p w:rsidR="007C16B4" w:rsidRDefault="007C16B4" w:rsidP="007C16B4">
      <w:pPr>
        <w:pStyle w:val="StandardParagraph"/>
      </w:pPr>
    </w:p>
    <w:p w:rsidR="007C16B4" w:rsidRDefault="007C16B4" w:rsidP="007C16B4">
      <w:r>
        <w:br w:type="page"/>
      </w:r>
    </w:p>
    <w:p w:rsidR="007C16B4" w:rsidRDefault="007F6BBC" w:rsidP="007C16B4">
      <w:pPr>
        <w:pStyle w:val="Heading1"/>
        <w:rPr>
          <w:noProof/>
          <w:lang w:eastAsia="en-GB"/>
        </w:rPr>
      </w:pPr>
      <w:r>
        <w:rPr>
          <w:noProof/>
          <w:lang w:eastAsia="en-GB"/>
        </w:rPr>
        <w:lastRenderedPageBreak/>
        <w:pict>
          <v:group id="_x0000_s1489" style="position:absolute;left:0;text-align:left;margin-left:-9pt;margin-top:38.35pt;width:396pt;height:99pt;z-index:251879424" coordorigin="1440,1980" coordsize="7920,1980">
            <v:rect id="_x0000_s1490" style="position:absolute;left:5040;top:1980;width:4320;height:540;v-text-anchor:middle" fillcolor="#31849b [2408]">
              <v:textbox style="mso-next-textbox:#_x0000_s1490">
                <w:txbxContent>
                  <w:p w:rsidR="003863F9" w:rsidRPr="00C00951" w:rsidRDefault="003863F9" w:rsidP="007C16B4">
                    <w:pPr>
                      <w:spacing w:line="240" w:lineRule="auto"/>
                      <w:jc w:val="center"/>
                      <w:rPr>
                        <w:rFonts w:cs="Arial"/>
                        <w:b/>
                        <w:sz w:val="20"/>
                        <w:szCs w:val="24"/>
                      </w:rPr>
                    </w:pPr>
                    <w:r w:rsidRPr="005E30D6">
                      <w:rPr>
                        <w:rFonts w:cs="Arial"/>
                        <w:b/>
                        <w:sz w:val="20"/>
                        <w:szCs w:val="24"/>
                      </w:rPr>
                      <w:t>Response</w:t>
                    </w:r>
                  </w:p>
                </w:txbxContent>
              </v:textbox>
            </v:rect>
            <v:rect id="_x0000_s1491" style="position:absolute;left:2400;top:1980;width:2400;height:540;v-text-anchor:middle" fillcolor="#31849b [2408]">
              <v:textbox style="mso-next-textbox:#_x0000_s1491">
                <w:txbxContent>
                  <w:p w:rsidR="003863F9" w:rsidRPr="00C00951" w:rsidRDefault="003863F9" w:rsidP="007C16B4">
                    <w:pPr>
                      <w:spacing w:line="240" w:lineRule="auto"/>
                      <w:jc w:val="center"/>
                      <w:rPr>
                        <w:rFonts w:cs="Arial"/>
                        <w:b/>
                        <w:sz w:val="20"/>
                        <w:szCs w:val="24"/>
                      </w:rPr>
                    </w:pPr>
                    <w:r w:rsidRPr="005E30D6">
                      <w:rPr>
                        <w:rFonts w:cs="Arial"/>
                        <w:b/>
                        <w:sz w:val="20"/>
                        <w:szCs w:val="24"/>
                      </w:rPr>
                      <w:t>Question</w:t>
                    </w:r>
                  </w:p>
                </w:txbxContent>
              </v:textbox>
            </v:rect>
            <v:rect id="_x0000_s1492" style="position:absolute;left:1440;top:2700;width:720;height:1260;v-text-anchor:middle" fillcolor="#bfbfbf [2412]">
              <v:textbox style="layout-flow:vertical;mso-layout-flow-alt:bottom-to-top;mso-next-textbox:#_x0000_s1492">
                <w:txbxContent>
                  <w:p w:rsidR="003863F9" w:rsidRPr="005B3097" w:rsidRDefault="003863F9" w:rsidP="007C16B4">
                    <w:pPr>
                      <w:spacing w:line="240" w:lineRule="auto"/>
                      <w:jc w:val="center"/>
                      <w:rPr>
                        <w:rFonts w:cs="Arial"/>
                        <w:b/>
                        <w:sz w:val="18"/>
                        <w:szCs w:val="18"/>
                      </w:rPr>
                    </w:pPr>
                    <w:r w:rsidRPr="002E0DCB">
                      <w:rPr>
                        <w:rFonts w:cs="Arial"/>
                        <w:b/>
                        <w:sz w:val="18"/>
                        <w:szCs w:val="18"/>
                      </w:rPr>
                      <w:t>Risk A</w:t>
                    </w:r>
                    <w:r>
                      <w:rPr>
                        <w:rFonts w:cs="Arial"/>
                        <w:b/>
                        <w:sz w:val="18"/>
                        <w:szCs w:val="18"/>
                      </w:rPr>
                      <w:t>llocation</w:t>
                    </w:r>
                  </w:p>
                </w:txbxContent>
              </v:textbox>
            </v:rect>
            <v:rect id="_x0000_s1493" style="position:absolute;left:2400;top:2700;width:2400;height:1260;v-text-anchor:middle">
              <v:textbox style="mso-next-textbox:#_x0000_s1493">
                <w:txbxContent>
                  <w:p w:rsidR="003863F9" w:rsidRPr="002E0DCB" w:rsidRDefault="003863F9" w:rsidP="007C16B4">
                    <w:pPr>
                      <w:spacing w:line="240" w:lineRule="auto"/>
                      <w:rPr>
                        <w:sz w:val="20"/>
                      </w:rPr>
                    </w:pPr>
                    <w:r w:rsidRPr="007A4477">
                      <w:rPr>
                        <w:sz w:val="20"/>
                      </w:rPr>
                      <w:t>How will the risks be apportioned bet</w:t>
                    </w:r>
                    <w:r>
                      <w:rPr>
                        <w:sz w:val="20"/>
                      </w:rPr>
                      <w:t>ween public and private sector?</w:t>
                    </w:r>
                  </w:p>
                </w:txbxContent>
              </v:textbox>
            </v:rect>
            <v:rect id="_x0000_s1494" style="position:absolute;left:5040;top:2700;width:4320;height:1260">
              <v:textbox style="mso-next-textbox:#_x0000_s1494">
                <w:txbxContent>
                  <w:p w:rsidR="003863F9" w:rsidRPr="00770637" w:rsidRDefault="003863F9" w:rsidP="007C16B4">
                    <w:pPr>
                      <w:spacing w:before="60" w:after="60" w:line="240" w:lineRule="auto"/>
                      <w:jc w:val="left"/>
                      <w:rPr>
                        <w:rFonts w:cs="Arial"/>
                        <w:sz w:val="20"/>
                      </w:rPr>
                    </w:pPr>
                    <w:r w:rsidRPr="00770637">
                      <w:rPr>
                        <w:rFonts w:cs="Arial"/>
                        <w:sz w:val="20"/>
                      </w:rPr>
                      <w:t>Outline:</w:t>
                    </w:r>
                  </w:p>
                  <w:p w:rsidR="003863F9" w:rsidRPr="002E0DCB" w:rsidRDefault="003863F9" w:rsidP="007C16B4">
                    <w:pPr>
                      <w:pStyle w:val="ListParagraph"/>
                      <w:numPr>
                        <w:ilvl w:val="0"/>
                        <w:numId w:val="11"/>
                      </w:numPr>
                      <w:spacing w:before="60" w:after="60" w:line="240" w:lineRule="auto"/>
                      <w:rPr>
                        <w:sz w:val="20"/>
                      </w:rPr>
                    </w:pPr>
                    <w:r>
                      <w:rPr>
                        <w:sz w:val="20"/>
                      </w:rPr>
                      <w:t>Risk a</w:t>
                    </w:r>
                    <w:r w:rsidRPr="002E0DCB">
                      <w:rPr>
                        <w:sz w:val="20"/>
                      </w:rPr>
                      <w:t xml:space="preserve">llocation </w:t>
                    </w:r>
                    <w:r>
                      <w:rPr>
                        <w:sz w:val="20"/>
                      </w:rPr>
                      <w:t>table</w:t>
                    </w:r>
                  </w:p>
                </w:txbxContent>
              </v:textbox>
            </v:rect>
            <w10:wrap type="topAndBottom"/>
          </v:group>
        </w:pict>
      </w:r>
      <w:r w:rsidR="007C16B4">
        <w:rPr>
          <w:noProof/>
          <w:lang w:eastAsia="en-GB"/>
        </w:rPr>
        <w:t>Risk Allocation</w:t>
      </w:r>
    </w:p>
    <w:p w:rsidR="007C16B4" w:rsidRDefault="007C16B4" w:rsidP="007C16B4">
      <w:pPr>
        <w:pStyle w:val="NoSpacing"/>
      </w:pPr>
    </w:p>
    <w:p w:rsidR="007C16B4" w:rsidRPr="000A6FDC" w:rsidRDefault="007C16B4" w:rsidP="007C16B4">
      <w:pPr>
        <w:pStyle w:val="Heading2"/>
      </w:pPr>
      <w:r w:rsidRPr="000A6FDC">
        <w:tab/>
        <w:t>Key Principles</w:t>
      </w:r>
    </w:p>
    <w:p w:rsidR="007C16B4" w:rsidRPr="002E0DCB" w:rsidRDefault="007C16B4" w:rsidP="007C16B4">
      <w:pPr>
        <w:pStyle w:val="StandardParagraph"/>
      </w:pPr>
      <w:r w:rsidRPr="00ED712F">
        <w:t>This section explains the principle</w:t>
      </w:r>
      <w:r>
        <w:t>s</w:t>
      </w:r>
      <w:r w:rsidRPr="00ED712F">
        <w:t xml:space="preserve"> of how </w:t>
      </w:r>
      <w:r>
        <w:t xml:space="preserve">project </w:t>
      </w:r>
      <w:r w:rsidRPr="00ED712F">
        <w:t xml:space="preserve">risks </w:t>
      </w:r>
      <w:r>
        <w:t>are generally to</w:t>
      </w:r>
      <w:r w:rsidRPr="00ED712F">
        <w:t xml:space="preserve"> be allocated </w:t>
      </w:r>
      <w:r>
        <w:t xml:space="preserve">between </w:t>
      </w:r>
      <w:r w:rsidRPr="00ED712F">
        <w:t xml:space="preserve">the NHS body and the </w:t>
      </w:r>
      <w:r>
        <w:t xml:space="preserve">private sector </w:t>
      </w:r>
      <w:r w:rsidRPr="00ED712F">
        <w:t>partner.</w:t>
      </w:r>
      <w:r>
        <w:t xml:space="preserve">  </w:t>
      </w:r>
      <w:r w:rsidRPr="00ED712F">
        <w:rPr>
          <w:rFonts w:eastAsiaTheme="minorHAnsi" w:cs="Arial"/>
          <w:szCs w:val="24"/>
        </w:rPr>
        <w:t xml:space="preserve">This is especially important when the successful delivery of the project is subject to significant risk, regardless of </w:t>
      </w:r>
      <w:r>
        <w:rPr>
          <w:rFonts w:eastAsiaTheme="minorHAnsi" w:cs="Arial"/>
          <w:szCs w:val="24"/>
        </w:rPr>
        <w:t>the procurement route adopted</w:t>
      </w:r>
      <w:r w:rsidRPr="00ED712F">
        <w:rPr>
          <w:rFonts w:eastAsiaTheme="minorHAnsi" w:cs="Arial"/>
          <w:szCs w:val="24"/>
        </w:rPr>
        <w:t>.</w:t>
      </w:r>
    </w:p>
    <w:p w:rsidR="007C16B4" w:rsidRDefault="007C16B4" w:rsidP="007C16B4">
      <w:pPr>
        <w:pStyle w:val="StandardParagraph"/>
        <w:rPr>
          <w:rFonts w:eastAsiaTheme="minorHAnsi"/>
        </w:rPr>
      </w:pPr>
      <w:r w:rsidRPr="00ED712F">
        <w:rPr>
          <w:rFonts w:eastAsiaTheme="minorHAnsi"/>
        </w:rPr>
        <w:t>The key principle is that risk should be allocated to the party best able to manage it. The objective is to optimally allocate risk, rather than maximising risk transfer.</w:t>
      </w:r>
    </w:p>
    <w:p w:rsidR="007C16B4" w:rsidRPr="00ED712F" w:rsidRDefault="007C16B4" w:rsidP="007C16B4">
      <w:pPr>
        <w:pStyle w:val="StandardParagraph"/>
        <w:rPr>
          <w:rFonts w:eastAsiaTheme="minorHAnsi"/>
        </w:rPr>
      </w:pPr>
      <w:r>
        <w:rPr>
          <w:rFonts w:eastAsiaTheme="minorHAnsi"/>
        </w:rPr>
        <w:t>Other</w:t>
      </w:r>
      <w:r w:rsidRPr="00ED712F">
        <w:rPr>
          <w:rFonts w:eastAsiaTheme="minorHAnsi"/>
        </w:rPr>
        <w:t xml:space="preserve"> principles that </w:t>
      </w:r>
      <w:r>
        <w:rPr>
          <w:rFonts w:eastAsiaTheme="minorHAnsi"/>
        </w:rPr>
        <w:t xml:space="preserve">need to be </w:t>
      </w:r>
      <w:r w:rsidRPr="00ED712F">
        <w:rPr>
          <w:rFonts w:eastAsiaTheme="minorHAnsi"/>
        </w:rPr>
        <w:t>considered include</w:t>
      </w:r>
      <w:r>
        <w:rPr>
          <w:rFonts w:eastAsiaTheme="minorHAnsi"/>
        </w:rPr>
        <w:t>:</w:t>
      </w:r>
    </w:p>
    <w:p w:rsidR="007C16B4" w:rsidRPr="00C51B49" w:rsidRDefault="007C16B4" w:rsidP="007C16B4">
      <w:pPr>
        <w:pStyle w:val="StandardBullet0"/>
        <w:rPr>
          <w:rFonts w:eastAsia="SymbolMT"/>
        </w:rPr>
      </w:pPr>
      <w:r w:rsidRPr="00C51B49">
        <w:rPr>
          <w:rFonts w:eastAsiaTheme="minorHAnsi"/>
        </w:rPr>
        <w:t xml:space="preserve">The degree to which risk may be transferred depends on the specific proposal under consideration. </w:t>
      </w:r>
    </w:p>
    <w:p w:rsidR="007C16B4" w:rsidRPr="00C51B49" w:rsidRDefault="007C16B4" w:rsidP="007C16B4">
      <w:pPr>
        <w:pStyle w:val="StandardBullet0"/>
        <w:rPr>
          <w:rFonts w:eastAsiaTheme="minorHAnsi"/>
        </w:rPr>
      </w:pPr>
      <w:r w:rsidRPr="00C51B49">
        <w:rPr>
          <w:rFonts w:eastAsiaTheme="minorHAnsi"/>
        </w:rPr>
        <w:t xml:space="preserve">Successful negotiation of risk transfer requires a clear understanding by the Board of the risks presented by a proposal, the broad impact that these risks may have on the </w:t>
      </w:r>
      <w:r w:rsidRPr="00C51B49">
        <w:t>private sector partner</w:t>
      </w:r>
      <w:r w:rsidRPr="00C51B49">
        <w:rPr>
          <w:rFonts w:eastAsiaTheme="minorHAnsi"/>
        </w:rPr>
        <w:t xml:space="preserve"> incentives and financing costs (cost drivers) and the degree to which risk transfer optimises value for money.</w:t>
      </w:r>
    </w:p>
    <w:p w:rsidR="00F65831" w:rsidRDefault="007C16B4" w:rsidP="007C16B4">
      <w:pPr>
        <w:pStyle w:val="StandardBullet0"/>
        <w:rPr>
          <w:rFonts w:eastAsiaTheme="minorHAnsi"/>
        </w:rPr>
      </w:pPr>
      <w:r w:rsidRPr="00C51B49">
        <w:rPr>
          <w:rFonts w:eastAsiaTheme="minorHAnsi"/>
        </w:rPr>
        <w:t xml:space="preserve">Where the market has clear ownership, responsibility and control, it should be encouraged to take all of those risks it can manage more effectively than the </w:t>
      </w:r>
      <w:r>
        <w:rPr>
          <w:rFonts w:eastAsiaTheme="minorHAnsi"/>
        </w:rPr>
        <w:t>Board</w:t>
      </w:r>
      <w:r w:rsidRPr="00C51B49">
        <w:rPr>
          <w:rFonts w:eastAsiaTheme="minorHAnsi"/>
        </w:rPr>
        <w:t xml:space="preserve">. If the </w:t>
      </w:r>
      <w:r>
        <w:rPr>
          <w:rFonts w:eastAsiaTheme="minorHAnsi"/>
        </w:rPr>
        <w:t xml:space="preserve">Board </w:t>
      </w:r>
      <w:r w:rsidRPr="00C51B49">
        <w:rPr>
          <w:rFonts w:eastAsiaTheme="minorHAnsi"/>
        </w:rPr>
        <w:t>seeks to reserve control, yet still seeks to transfer significant risk, the</w:t>
      </w:r>
      <w:r w:rsidR="00F65831">
        <w:rPr>
          <w:rFonts w:eastAsiaTheme="minorHAnsi"/>
        </w:rPr>
        <w:t>n this could attract an added cost premium.</w:t>
      </w:r>
    </w:p>
    <w:p w:rsidR="007C16B4" w:rsidRDefault="007C16B4" w:rsidP="007C16B4">
      <w:pPr>
        <w:pStyle w:val="StandardBullet0"/>
        <w:rPr>
          <w:rFonts w:eastAsiaTheme="minorHAnsi"/>
        </w:rPr>
      </w:pPr>
      <w:r w:rsidRPr="00C51B49">
        <w:rPr>
          <w:rFonts w:eastAsiaTheme="minorHAnsi"/>
        </w:rPr>
        <w:t>Appropriate transfer of risk generates incentives for the market to supply timely, cost effective and more innovative solutions.</w:t>
      </w:r>
    </w:p>
    <w:p w:rsidR="007C16B4" w:rsidRPr="00395B6C" w:rsidRDefault="007C16B4" w:rsidP="007C16B4">
      <w:pPr>
        <w:pStyle w:val="StandardBullet0"/>
        <w:rPr>
          <w:rFonts w:eastAsiaTheme="minorHAnsi"/>
        </w:rPr>
      </w:pPr>
      <w:r w:rsidRPr="00395B6C">
        <w:rPr>
          <w:rFonts w:eastAsiaTheme="minorHAnsi"/>
        </w:rPr>
        <w:lastRenderedPageBreak/>
        <w:t xml:space="preserve">Consider transferring risk to the </w:t>
      </w:r>
      <w:r>
        <w:t xml:space="preserve">private sector </w:t>
      </w:r>
      <w:r w:rsidRPr="00ED712F">
        <w:t>partner</w:t>
      </w:r>
      <w:r w:rsidRPr="00395B6C">
        <w:rPr>
          <w:rFonts w:eastAsiaTheme="minorHAnsi"/>
        </w:rPr>
        <w:t xml:space="preserve"> whenever they are better able to influence the outcome than the Board. </w:t>
      </w:r>
    </w:p>
    <w:p w:rsidR="007C16B4" w:rsidRPr="00ED712F" w:rsidRDefault="007C16B4" w:rsidP="007C16B4">
      <w:pPr>
        <w:pStyle w:val="Heading2"/>
      </w:pPr>
      <w:r w:rsidRPr="00ED712F">
        <w:tab/>
        <w:t>Risk Allocation Table</w:t>
      </w:r>
    </w:p>
    <w:p w:rsidR="007C16B4" w:rsidRDefault="007C16B4" w:rsidP="007C16B4">
      <w:pPr>
        <w:pStyle w:val="StandardParagraph"/>
      </w:pPr>
      <w:r w:rsidRPr="00ED712F">
        <w:t xml:space="preserve">A risk allocation table </w:t>
      </w:r>
      <w:r>
        <w:t xml:space="preserve">is needed </w:t>
      </w:r>
      <w:r w:rsidRPr="00ED712F">
        <w:t>that clearly shows the potential allocation of risk between the parties.</w:t>
      </w:r>
      <w:r>
        <w:t xml:space="preserve">  This should be shown as percentage allocation wherever possible. </w:t>
      </w:r>
      <w:r w:rsidRPr="00ED712F">
        <w:t xml:space="preserve"> </w:t>
      </w:r>
    </w:p>
    <w:p w:rsidR="007C16B4" w:rsidRDefault="007C16B4" w:rsidP="007C16B4">
      <w:pPr>
        <w:pStyle w:val="StandardParagraph"/>
      </w:pPr>
      <w:r>
        <w:t xml:space="preserve">The allocation of risks is influenced by the different </w:t>
      </w:r>
      <w:r w:rsidR="00AC2C0E">
        <w:t xml:space="preserve">procurement </w:t>
      </w:r>
      <w:r>
        <w:t xml:space="preserve">approaches taken and the following table outlines the typical allocation of risks </w:t>
      </w:r>
      <w:r w:rsidR="00AC2C0E">
        <w:rPr>
          <w:rFonts w:eastAsiaTheme="minorHAnsi" w:cs="Arial"/>
          <w:szCs w:val="24"/>
        </w:rPr>
        <w:t xml:space="preserve">for a capital funded design and build </w:t>
      </w:r>
      <w:r>
        <w:t>project.  These should be reviewed for each individual project against the key principles described above and adjusted accordingly before incorporating into this section of the OBC.</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BF"/>
      </w:tblPr>
      <w:tblGrid>
        <w:gridCol w:w="3676"/>
        <w:gridCol w:w="1566"/>
        <w:gridCol w:w="1447"/>
        <w:gridCol w:w="1447"/>
      </w:tblGrid>
      <w:tr w:rsidR="007C16B4" w:rsidRPr="00AC2C0E" w:rsidTr="00AC2C0E">
        <w:trPr>
          <w:trHeight w:val="457"/>
        </w:trPr>
        <w:tc>
          <w:tcPr>
            <w:tcW w:w="3676" w:type="dxa"/>
            <w:vMerge w:val="restart"/>
            <w:shd w:val="clear" w:color="auto" w:fill="31849B" w:themeFill="accent5" w:themeFillShade="BF"/>
            <w:vAlign w:val="center"/>
          </w:tcPr>
          <w:p w:rsidR="007C16B4" w:rsidRPr="00AC2C0E" w:rsidRDefault="007C16B4" w:rsidP="00AC2C0E">
            <w:pPr>
              <w:pStyle w:val="Standardparatable"/>
              <w:spacing w:before="60" w:after="60"/>
              <w:jc w:val="center"/>
              <w:rPr>
                <w:color w:val="FFFFFF" w:themeColor="background1"/>
                <w:szCs w:val="22"/>
              </w:rPr>
            </w:pPr>
            <w:r w:rsidRPr="00AC2C0E">
              <w:rPr>
                <w:color w:val="FFFFFF" w:themeColor="background1"/>
                <w:sz w:val="22"/>
                <w:szCs w:val="22"/>
              </w:rPr>
              <w:t>Risk Category</w:t>
            </w:r>
          </w:p>
        </w:tc>
        <w:tc>
          <w:tcPr>
            <w:tcW w:w="4460" w:type="dxa"/>
            <w:gridSpan w:val="3"/>
            <w:shd w:val="clear" w:color="auto" w:fill="31849B" w:themeFill="accent5" w:themeFillShade="BF"/>
            <w:vAlign w:val="center"/>
          </w:tcPr>
          <w:p w:rsidR="007C16B4" w:rsidRPr="00AC2C0E" w:rsidRDefault="007C16B4" w:rsidP="00AC2C0E">
            <w:pPr>
              <w:pStyle w:val="Standardparatable"/>
              <w:spacing w:before="60" w:after="60"/>
              <w:jc w:val="center"/>
              <w:rPr>
                <w:color w:val="FFFFFF" w:themeColor="background1"/>
                <w:szCs w:val="22"/>
              </w:rPr>
            </w:pPr>
            <w:r w:rsidRPr="00AC2C0E">
              <w:rPr>
                <w:color w:val="FFFFFF" w:themeColor="background1"/>
                <w:sz w:val="22"/>
                <w:szCs w:val="22"/>
              </w:rPr>
              <w:t>Potential allocation of risk</w:t>
            </w:r>
          </w:p>
        </w:tc>
      </w:tr>
      <w:tr w:rsidR="007C16B4" w:rsidRPr="00AC2C0E" w:rsidTr="00AC2C0E">
        <w:trPr>
          <w:trHeight w:val="486"/>
        </w:trPr>
        <w:tc>
          <w:tcPr>
            <w:tcW w:w="3676" w:type="dxa"/>
            <w:vMerge/>
            <w:shd w:val="clear" w:color="auto" w:fill="31849B" w:themeFill="accent5" w:themeFillShade="BF"/>
            <w:vAlign w:val="center"/>
          </w:tcPr>
          <w:p w:rsidR="007C16B4" w:rsidRPr="00AC2C0E" w:rsidRDefault="007C16B4" w:rsidP="00AC2C0E">
            <w:pPr>
              <w:pStyle w:val="Standardparatable"/>
              <w:spacing w:before="60" w:after="60"/>
              <w:jc w:val="center"/>
              <w:rPr>
                <w:color w:val="FFFFFF" w:themeColor="background1"/>
                <w:szCs w:val="22"/>
              </w:rPr>
            </w:pPr>
          </w:p>
        </w:tc>
        <w:tc>
          <w:tcPr>
            <w:tcW w:w="1566" w:type="dxa"/>
            <w:shd w:val="clear" w:color="auto" w:fill="31849B" w:themeFill="accent5" w:themeFillShade="BF"/>
            <w:vAlign w:val="center"/>
          </w:tcPr>
          <w:p w:rsidR="007C16B4" w:rsidRPr="00AC2C0E" w:rsidRDefault="007C16B4" w:rsidP="00AC2C0E">
            <w:pPr>
              <w:pStyle w:val="Standardparatable"/>
              <w:spacing w:before="60" w:after="60"/>
              <w:jc w:val="center"/>
              <w:rPr>
                <w:color w:val="FFFFFF" w:themeColor="background1"/>
                <w:szCs w:val="22"/>
              </w:rPr>
            </w:pPr>
            <w:r w:rsidRPr="00AC2C0E">
              <w:rPr>
                <w:color w:val="FFFFFF" w:themeColor="background1"/>
                <w:sz w:val="22"/>
                <w:szCs w:val="22"/>
              </w:rPr>
              <w:t>Public</w:t>
            </w:r>
          </w:p>
        </w:tc>
        <w:tc>
          <w:tcPr>
            <w:tcW w:w="1447" w:type="dxa"/>
            <w:shd w:val="clear" w:color="auto" w:fill="31849B" w:themeFill="accent5" w:themeFillShade="BF"/>
            <w:vAlign w:val="center"/>
          </w:tcPr>
          <w:p w:rsidR="007C16B4" w:rsidRPr="00AC2C0E" w:rsidRDefault="007C16B4" w:rsidP="00AC2C0E">
            <w:pPr>
              <w:pStyle w:val="Standardparatable"/>
              <w:spacing w:before="60" w:after="60"/>
              <w:jc w:val="center"/>
              <w:rPr>
                <w:color w:val="FFFFFF" w:themeColor="background1"/>
                <w:szCs w:val="22"/>
              </w:rPr>
            </w:pPr>
            <w:r w:rsidRPr="00AC2C0E">
              <w:rPr>
                <w:color w:val="FFFFFF" w:themeColor="background1"/>
                <w:sz w:val="22"/>
                <w:szCs w:val="22"/>
              </w:rPr>
              <w:t>Private</w:t>
            </w:r>
          </w:p>
        </w:tc>
        <w:tc>
          <w:tcPr>
            <w:tcW w:w="1447" w:type="dxa"/>
            <w:shd w:val="clear" w:color="auto" w:fill="31849B" w:themeFill="accent5" w:themeFillShade="BF"/>
            <w:vAlign w:val="center"/>
          </w:tcPr>
          <w:p w:rsidR="007C16B4" w:rsidRPr="00AC2C0E" w:rsidRDefault="007C16B4" w:rsidP="00AC2C0E">
            <w:pPr>
              <w:pStyle w:val="Standardparatable"/>
              <w:spacing w:before="60" w:after="60"/>
              <w:jc w:val="center"/>
              <w:rPr>
                <w:color w:val="FFFFFF" w:themeColor="background1"/>
                <w:szCs w:val="22"/>
              </w:rPr>
            </w:pPr>
            <w:r w:rsidRPr="00AC2C0E">
              <w:rPr>
                <w:color w:val="FFFFFF" w:themeColor="background1"/>
                <w:sz w:val="22"/>
                <w:szCs w:val="22"/>
              </w:rPr>
              <w:t>Shared</w:t>
            </w:r>
          </w:p>
        </w:tc>
      </w:tr>
      <w:tr w:rsidR="007C16B4" w:rsidRPr="00AC2C0E" w:rsidTr="00AC2C0E">
        <w:trPr>
          <w:trHeight w:val="415"/>
        </w:trPr>
        <w:tc>
          <w:tcPr>
            <w:tcW w:w="3676" w:type="dxa"/>
            <w:vAlign w:val="center"/>
          </w:tcPr>
          <w:p w:rsidR="007C16B4" w:rsidRPr="00AC2C0E" w:rsidRDefault="007C16B4" w:rsidP="00AC2C0E">
            <w:pPr>
              <w:pStyle w:val="Standardparatable"/>
              <w:spacing w:before="60" w:after="60"/>
              <w:rPr>
                <w:szCs w:val="22"/>
              </w:rPr>
            </w:pPr>
            <w:r w:rsidRPr="00AC2C0E">
              <w:rPr>
                <w:sz w:val="22"/>
                <w:szCs w:val="22"/>
              </w:rPr>
              <w:t>Client / Business risks</w:t>
            </w:r>
          </w:p>
        </w:tc>
        <w:tc>
          <w:tcPr>
            <w:tcW w:w="1566" w:type="dxa"/>
            <w:vAlign w:val="center"/>
          </w:tcPr>
          <w:p w:rsidR="007C16B4" w:rsidRPr="00AC2C0E" w:rsidRDefault="007C16B4" w:rsidP="00AC2C0E">
            <w:pPr>
              <w:pStyle w:val="Standardparatable"/>
              <w:spacing w:before="60" w:after="60"/>
              <w:jc w:val="center"/>
              <w:rPr>
                <w:szCs w:val="22"/>
              </w:rPr>
            </w:pPr>
            <w:r w:rsidRPr="00AC2C0E">
              <w:rPr>
                <w:sz w:val="22"/>
                <w:szCs w:val="22"/>
              </w:rPr>
              <w:t>100%</w:t>
            </w:r>
          </w:p>
        </w:tc>
        <w:tc>
          <w:tcPr>
            <w:tcW w:w="1447" w:type="dxa"/>
            <w:vAlign w:val="center"/>
          </w:tcPr>
          <w:p w:rsidR="007C16B4" w:rsidRPr="00AC2C0E" w:rsidRDefault="007C16B4" w:rsidP="00AC2C0E">
            <w:pPr>
              <w:pStyle w:val="Standardparatable"/>
              <w:spacing w:before="60" w:after="60"/>
              <w:jc w:val="center"/>
              <w:rPr>
                <w:szCs w:val="22"/>
              </w:rPr>
            </w:pPr>
            <w:r w:rsidRPr="00AC2C0E">
              <w:rPr>
                <w:sz w:val="22"/>
                <w:szCs w:val="22"/>
              </w:rPr>
              <w:t>0%</w:t>
            </w:r>
          </w:p>
        </w:tc>
        <w:tc>
          <w:tcPr>
            <w:tcW w:w="1447" w:type="dxa"/>
            <w:vAlign w:val="center"/>
          </w:tcPr>
          <w:p w:rsidR="007C16B4" w:rsidRPr="00AC2C0E" w:rsidRDefault="007C16B4" w:rsidP="00AC2C0E">
            <w:pPr>
              <w:pStyle w:val="Standardparatable"/>
              <w:spacing w:before="60" w:after="60"/>
              <w:jc w:val="center"/>
              <w:rPr>
                <w:szCs w:val="22"/>
              </w:rPr>
            </w:pPr>
          </w:p>
        </w:tc>
      </w:tr>
      <w:tr w:rsidR="007C16B4" w:rsidRPr="00AC2C0E" w:rsidTr="00AC2C0E">
        <w:trPr>
          <w:trHeight w:val="415"/>
        </w:trPr>
        <w:tc>
          <w:tcPr>
            <w:tcW w:w="3676" w:type="dxa"/>
            <w:vAlign w:val="center"/>
          </w:tcPr>
          <w:p w:rsidR="007C16B4" w:rsidRPr="00AC2C0E" w:rsidRDefault="007C16B4" w:rsidP="00AC2C0E">
            <w:pPr>
              <w:pStyle w:val="Standardparatable"/>
              <w:spacing w:before="60" w:after="60"/>
              <w:rPr>
                <w:szCs w:val="22"/>
              </w:rPr>
            </w:pPr>
            <w:r w:rsidRPr="00AC2C0E">
              <w:rPr>
                <w:sz w:val="22"/>
                <w:szCs w:val="22"/>
              </w:rPr>
              <w:t>Design</w:t>
            </w:r>
          </w:p>
        </w:tc>
        <w:tc>
          <w:tcPr>
            <w:tcW w:w="1566" w:type="dxa"/>
            <w:vAlign w:val="center"/>
          </w:tcPr>
          <w:p w:rsidR="007C16B4" w:rsidRPr="00AC2C0E" w:rsidRDefault="007C16B4" w:rsidP="00AC2C0E">
            <w:pPr>
              <w:pStyle w:val="Standardparatable"/>
              <w:spacing w:before="60" w:after="60"/>
              <w:jc w:val="center"/>
              <w:rPr>
                <w:szCs w:val="22"/>
              </w:rPr>
            </w:pPr>
            <w:r w:rsidRPr="00AC2C0E">
              <w:rPr>
                <w:sz w:val="22"/>
                <w:szCs w:val="22"/>
              </w:rPr>
              <w:t>0%</w:t>
            </w:r>
          </w:p>
        </w:tc>
        <w:tc>
          <w:tcPr>
            <w:tcW w:w="1447" w:type="dxa"/>
            <w:vAlign w:val="center"/>
          </w:tcPr>
          <w:p w:rsidR="007C16B4" w:rsidRPr="00AC2C0E" w:rsidRDefault="007C16B4" w:rsidP="00AC2C0E">
            <w:pPr>
              <w:pStyle w:val="Standardparatable"/>
              <w:spacing w:before="60" w:after="60"/>
              <w:jc w:val="center"/>
              <w:rPr>
                <w:szCs w:val="22"/>
              </w:rPr>
            </w:pPr>
            <w:r w:rsidRPr="00AC2C0E">
              <w:rPr>
                <w:sz w:val="22"/>
                <w:szCs w:val="22"/>
              </w:rPr>
              <w:t>100%</w:t>
            </w:r>
          </w:p>
        </w:tc>
        <w:tc>
          <w:tcPr>
            <w:tcW w:w="1447" w:type="dxa"/>
            <w:vAlign w:val="center"/>
          </w:tcPr>
          <w:p w:rsidR="007C16B4" w:rsidRPr="00AC2C0E" w:rsidRDefault="007C16B4" w:rsidP="00AC2C0E">
            <w:pPr>
              <w:pStyle w:val="Standardparatable"/>
              <w:spacing w:before="60" w:after="60"/>
              <w:jc w:val="center"/>
              <w:rPr>
                <w:szCs w:val="22"/>
              </w:rPr>
            </w:pPr>
          </w:p>
        </w:tc>
      </w:tr>
      <w:tr w:rsidR="007C16B4" w:rsidRPr="00AC2C0E" w:rsidTr="00AC2C0E">
        <w:trPr>
          <w:trHeight w:val="415"/>
        </w:trPr>
        <w:tc>
          <w:tcPr>
            <w:tcW w:w="3676" w:type="dxa"/>
            <w:vAlign w:val="center"/>
          </w:tcPr>
          <w:p w:rsidR="007C16B4" w:rsidRPr="00AC2C0E" w:rsidRDefault="007C16B4" w:rsidP="00AC2C0E">
            <w:pPr>
              <w:pStyle w:val="Standardparatable"/>
              <w:spacing w:before="60" w:after="60"/>
              <w:rPr>
                <w:szCs w:val="22"/>
              </w:rPr>
            </w:pPr>
            <w:r w:rsidRPr="00AC2C0E">
              <w:rPr>
                <w:sz w:val="22"/>
                <w:szCs w:val="22"/>
              </w:rPr>
              <w:t>Development and Construction</w:t>
            </w:r>
          </w:p>
        </w:tc>
        <w:tc>
          <w:tcPr>
            <w:tcW w:w="1566" w:type="dxa"/>
            <w:vAlign w:val="center"/>
          </w:tcPr>
          <w:p w:rsidR="007C16B4" w:rsidRPr="00AC2C0E" w:rsidRDefault="007C16B4" w:rsidP="00AC2C0E">
            <w:pPr>
              <w:pStyle w:val="Standardparatable"/>
              <w:spacing w:before="60" w:after="60"/>
              <w:jc w:val="center"/>
              <w:rPr>
                <w:szCs w:val="22"/>
              </w:rPr>
            </w:pPr>
            <w:r w:rsidRPr="00AC2C0E">
              <w:rPr>
                <w:sz w:val="22"/>
                <w:szCs w:val="22"/>
              </w:rPr>
              <w:t>25%</w:t>
            </w:r>
          </w:p>
        </w:tc>
        <w:tc>
          <w:tcPr>
            <w:tcW w:w="1447" w:type="dxa"/>
            <w:vAlign w:val="center"/>
          </w:tcPr>
          <w:p w:rsidR="007C16B4" w:rsidRPr="00AC2C0E" w:rsidRDefault="007C16B4" w:rsidP="00AC2C0E">
            <w:pPr>
              <w:pStyle w:val="Standardparatable"/>
              <w:spacing w:before="60" w:after="60"/>
              <w:jc w:val="center"/>
              <w:rPr>
                <w:szCs w:val="22"/>
              </w:rPr>
            </w:pPr>
            <w:r w:rsidRPr="00AC2C0E">
              <w:rPr>
                <w:sz w:val="22"/>
                <w:szCs w:val="22"/>
              </w:rPr>
              <w:t>75%</w:t>
            </w:r>
          </w:p>
        </w:tc>
        <w:tc>
          <w:tcPr>
            <w:tcW w:w="1447" w:type="dxa"/>
            <w:vAlign w:val="center"/>
          </w:tcPr>
          <w:p w:rsidR="007C16B4" w:rsidRPr="00AC2C0E" w:rsidRDefault="007C16B4" w:rsidP="00AC2C0E">
            <w:pPr>
              <w:pStyle w:val="Standardparatable"/>
              <w:spacing w:before="60" w:after="60"/>
              <w:jc w:val="center"/>
              <w:rPr>
                <w:szCs w:val="22"/>
              </w:rPr>
            </w:pPr>
            <m:oMathPara>
              <m:oMath>
                <m:r>
                  <m:rPr>
                    <m:sty m:val="p"/>
                  </m:rPr>
                  <w:rPr>
                    <w:rFonts w:ascii="Cambria Math" w:hAnsi="Cambria Math"/>
                    <w:sz w:val="22"/>
                    <w:szCs w:val="22"/>
                  </w:rPr>
                  <m:t>√</m:t>
                </m:r>
              </m:oMath>
            </m:oMathPara>
          </w:p>
        </w:tc>
      </w:tr>
      <w:tr w:rsidR="007C16B4" w:rsidRPr="00AC2C0E" w:rsidTr="00AC2C0E">
        <w:trPr>
          <w:trHeight w:val="415"/>
        </w:trPr>
        <w:tc>
          <w:tcPr>
            <w:tcW w:w="3676" w:type="dxa"/>
            <w:vAlign w:val="center"/>
          </w:tcPr>
          <w:p w:rsidR="007C16B4" w:rsidRPr="00AC2C0E" w:rsidRDefault="007C16B4" w:rsidP="00AC2C0E">
            <w:pPr>
              <w:pStyle w:val="Standardparatable"/>
              <w:spacing w:before="60" w:after="60"/>
              <w:rPr>
                <w:szCs w:val="22"/>
              </w:rPr>
            </w:pPr>
            <w:r w:rsidRPr="00AC2C0E">
              <w:rPr>
                <w:sz w:val="22"/>
                <w:szCs w:val="22"/>
              </w:rPr>
              <w:t>Transition and Implementation</w:t>
            </w:r>
          </w:p>
        </w:tc>
        <w:tc>
          <w:tcPr>
            <w:tcW w:w="1566" w:type="dxa"/>
            <w:vAlign w:val="center"/>
          </w:tcPr>
          <w:p w:rsidR="007C16B4" w:rsidRPr="00AC2C0E" w:rsidRDefault="007C16B4" w:rsidP="00AC2C0E">
            <w:pPr>
              <w:pStyle w:val="Standardparatable"/>
              <w:spacing w:before="60" w:after="60"/>
              <w:jc w:val="center"/>
              <w:rPr>
                <w:szCs w:val="22"/>
              </w:rPr>
            </w:pPr>
            <w:r w:rsidRPr="00AC2C0E">
              <w:rPr>
                <w:sz w:val="22"/>
                <w:szCs w:val="22"/>
              </w:rPr>
              <w:t>60%</w:t>
            </w:r>
          </w:p>
        </w:tc>
        <w:tc>
          <w:tcPr>
            <w:tcW w:w="1447" w:type="dxa"/>
            <w:vAlign w:val="center"/>
          </w:tcPr>
          <w:p w:rsidR="007C16B4" w:rsidRPr="00AC2C0E" w:rsidRDefault="007C16B4" w:rsidP="00AC2C0E">
            <w:pPr>
              <w:pStyle w:val="Standardparatable"/>
              <w:spacing w:before="60" w:after="60"/>
              <w:jc w:val="center"/>
              <w:rPr>
                <w:szCs w:val="22"/>
              </w:rPr>
            </w:pPr>
            <w:r w:rsidRPr="00AC2C0E">
              <w:rPr>
                <w:sz w:val="22"/>
                <w:szCs w:val="22"/>
              </w:rPr>
              <w:t>40%</w:t>
            </w:r>
          </w:p>
        </w:tc>
        <w:tc>
          <w:tcPr>
            <w:tcW w:w="1447" w:type="dxa"/>
            <w:vAlign w:val="center"/>
          </w:tcPr>
          <w:p w:rsidR="007C16B4" w:rsidRPr="00AC2C0E" w:rsidRDefault="007C16B4" w:rsidP="00AC2C0E">
            <w:pPr>
              <w:pStyle w:val="Standardparatable"/>
              <w:spacing w:before="60" w:after="60"/>
              <w:jc w:val="center"/>
              <w:rPr>
                <w:szCs w:val="22"/>
              </w:rPr>
            </w:pPr>
            <w:r w:rsidRPr="00AC2C0E">
              <w:rPr>
                <w:sz w:val="22"/>
                <w:szCs w:val="22"/>
              </w:rPr>
              <w:t>√</w:t>
            </w:r>
          </w:p>
        </w:tc>
      </w:tr>
      <w:tr w:rsidR="007C16B4" w:rsidRPr="00AC2C0E" w:rsidTr="00AC2C0E">
        <w:trPr>
          <w:trHeight w:val="415"/>
        </w:trPr>
        <w:tc>
          <w:tcPr>
            <w:tcW w:w="3676" w:type="dxa"/>
            <w:vAlign w:val="center"/>
          </w:tcPr>
          <w:p w:rsidR="007C16B4" w:rsidRPr="00AC2C0E" w:rsidRDefault="007C16B4" w:rsidP="00AC2C0E">
            <w:pPr>
              <w:pStyle w:val="Standardparatable"/>
              <w:spacing w:before="60" w:after="60"/>
              <w:rPr>
                <w:szCs w:val="22"/>
              </w:rPr>
            </w:pPr>
            <w:r w:rsidRPr="00AC2C0E">
              <w:rPr>
                <w:sz w:val="22"/>
                <w:szCs w:val="22"/>
              </w:rPr>
              <w:t xml:space="preserve">Availability and Performance </w:t>
            </w:r>
          </w:p>
        </w:tc>
        <w:tc>
          <w:tcPr>
            <w:tcW w:w="1566" w:type="dxa"/>
            <w:vAlign w:val="center"/>
          </w:tcPr>
          <w:p w:rsidR="007C16B4" w:rsidRPr="00AC2C0E" w:rsidRDefault="007C16B4" w:rsidP="00AC2C0E">
            <w:pPr>
              <w:pStyle w:val="Standardparatable"/>
              <w:spacing w:before="60" w:after="60"/>
              <w:jc w:val="center"/>
              <w:rPr>
                <w:szCs w:val="22"/>
              </w:rPr>
            </w:pPr>
            <w:r w:rsidRPr="00AC2C0E">
              <w:rPr>
                <w:sz w:val="22"/>
                <w:szCs w:val="22"/>
              </w:rPr>
              <w:t>0%</w:t>
            </w:r>
          </w:p>
        </w:tc>
        <w:tc>
          <w:tcPr>
            <w:tcW w:w="1447" w:type="dxa"/>
            <w:vAlign w:val="center"/>
          </w:tcPr>
          <w:p w:rsidR="007C16B4" w:rsidRPr="00AC2C0E" w:rsidRDefault="007C16B4" w:rsidP="00AC2C0E">
            <w:pPr>
              <w:pStyle w:val="Standardparatable"/>
              <w:spacing w:before="60" w:after="60"/>
              <w:jc w:val="center"/>
              <w:rPr>
                <w:szCs w:val="22"/>
              </w:rPr>
            </w:pPr>
            <w:r w:rsidRPr="00AC2C0E">
              <w:rPr>
                <w:sz w:val="22"/>
                <w:szCs w:val="22"/>
              </w:rPr>
              <w:t>100%</w:t>
            </w:r>
          </w:p>
        </w:tc>
        <w:tc>
          <w:tcPr>
            <w:tcW w:w="1447" w:type="dxa"/>
            <w:vAlign w:val="center"/>
          </w:tcPr>
          <w:p w:rsidR="007C16B4" w:rsidRPr="00AC2C0E" w:rsidRDefault="007C16B4" w:rsidP="00AC2C0E">
            <w:pPr>
              <w:pStyle w:val="Standardparatable"/>
              <w:spacing w:before="60" w:after="60"/>
              <w:jc w:val="center"/>
              <w:rPr>
                <w:szCs w:val="22"/>
              </w:rPr>
            </w:pPr>
          </w:p>
        </w:tc>
      </w:tr>
      <w:tr w:rsidR="007C16B4" w:rsidRPr="00AC2C0E" w:rsidTr="00AC2C0E">
        <w:trPr>
          <w:trHeight w:val="415"/>
        </w:trPr>
        <w:tc>
          <w:tcPr>
            <w:tcW w:w="3676" w:type="dxa"/>
            <w:vAlign w:val="center"/>
          </w:tcPr>
          <w:p w:rsidR="007C16B4" w:rsidRPr="00AC2C0E" w:rsidRDefault="007C16B4" w:rsidP="00AC2C0E">
            <w:pPr>
              <w:pStyle w:val="Standardparatable"/>
              <w:spacing w:before="60" w:after="60"/>
              <w:rPr>
                <w:szCs w:val="22"/>
              </w:rPr>
            </w:pPr>
            <w:r w:rsidRPr="00AC2C0E">
              <w:rPr>
                <w:sz w:val="22"/>
                <w:szCs w:val="22"/>
              </w:rPr>
              <w:t>Operating</w:t>
            </w:r>
          </w:p>
        </w:tc>
        <w:tc>
          <w:tcPr>
            <w:tcW w:w="1566" w:type="dxa"/>
            <w:vAlign w:val="center"/>
          </w:tcPr>
          <w:p w:rsidR="007C16B4" w:rsidRPr="00AC2C0E" w:rsidRDefault="007C16B4" w:rsidP="00AC2C0E">
            <w:pPr>
              <w:pStyle w:val="Standardparatable"/>
              <w:spacing w:before="60" w:after="60"/>
              <w:jc w:val="center"/>
              <w:rPr>
                <w:szCs w:val="22"/>
              </w:rPr>
            </w:pPr>
            <w:r w:rsidRPr="00AC2C0E">
              <w:rPr>
                <w:sz w:val="22"/>
                <w:szCs w:val="22"/>
              </w:rPr>
              <w:t>100%</w:t>
            </w:r>
          </w:p>
        </w:tc>
        <w:tc>
          <w:tcPr>
            <w:tcW w:w="1447" w:type="dxa"/>
            <w:vAlign w:val="center"/>
          </w:tcPr>
          <w:p w:rsidR="007C16B4" w:rsidRPr="00AC2C0E" w:rsidRDefault="007C16B4" w:rsidP="00AC2C0E">
            <w:pPr>
              <w:pStyle w:val="Standardparatable"/>
              <w:spacing w:before="60" w:after="60"/>
              <w:jc w:val="center"/>
              <w:rPr>
                <w:szCs w:val="22"/>
              </w:rPr>
            </w:pPr>
          </w:p>
        </w:tc>
        <w:tc>
          <w:tcPr>
            <w:tcW w:w="1447" w:type="dxa"/>
            <w:vAlign w:val="center"/>
          </w:tcPr>
          <w:p w:rsidR="007C16B4" w:rsidRPr="00AC2C0E" w:rsidRDefault="007C16B4" w:rsidP="00AC2C0E">
            <w:pPr>
              <w:pStyle w:val="Standardparatable"/>
              <w:spacing w:before="60" w:after="60"/>
              <w:jc w:val="center"/>
              <w:rPr>
                <w:szCs w:val="22"/>
              </w:rPr>
            </w:pPr>
          </w:p>
        </w:tc>
      </w:tr>
      <w:tr w:rsidR="007C16B4" w:rsidRPr="00AC2C0E" w:rsidTr="00AC2C0E">
        <w:trPr>
          <w:trHeight w:val="415"/>
        </w:trPr>
        <w:tc>
          <w:tcPr>
            <w:tcW w:w="3676" w:type="dxa"/>
            <w:vAlign w:val="center"/>
          </w:tcPr>
          <w:p w:rsidR="007C16B4" w:rsidRPr="00AC2C0E" w:rsidRDefault="007C16B4" w:rsidP="00AC2C0E">
            <w:pPr>
              <w:pStyle w:val="Standardparatable"/>
              <w:spacing w:before="60" w:after="60"/>
              <w:rPr>
                <w:szCs w:val="22"/>
              </w:rPr>
            </w:pPr>
            <w:r w:rsidRPr="00AC2C0E">
              <w:rPr>
                <w:sz w:val="22"/>
                <w:szCs w:val="22"/>
              </w:rPr>
              <w:t>Revenue</w:t>
            </w:r>
          </w:p>
        </w:tc>
        <w:tc>
          <w:tcPr>
            <w:tcW w:w="1566" w:type="dxa"/>
            <w:vAlign w:val="center"/>
          </w:tcPr>
          <w:p w:rsidR="007C16B4" w:rsidRPr="00AC2C0E" w:rsidRDefault="007C16B4" w:rsidP="00AC2C0E">
            <w:pPr>
              <w:pStyle w:val="Standardparatable"/>
              <w:spacing w:before="60" w:after="60"/>
              <w:jc w:val="center"/>
              <w:rPr>
                <w:szCs w:val="22"/>
              </w:rPr>
            </w:pPr>
            <w:r w:rsidRPr="00AC2C0E">
              <w:rPr>
                <w:sz w:val="22"/>
                <w:szCs w:val="22"/>
              </w:rPr>
              <w:t>100%</w:t>
            </w:r>
          </w:p>
        </w:tc>
        <w:tc>
          <w:tcPr>
            <w:tcW w:w="1447" w:type="dxa"/>
            <w:vAlign w:val="center"/>
          </w:tcPr>
          <w:p w:rsidR="007C16B4" w:rsidRPr="00AC2C0E" w:rsidRDefault="007C16B4" w:rsidP="00AC2C0E">
            <w:pPr>
              <w:pStyle w:val="Standardparatable"/>
              <w:spacing w:before="60" w:after="60"/>
              <w:jc w:val="center"/>
              <w:rPr>
                <w:szCs w:val="22"/>
              </w:rPr>
            </w:pPr>
          </w:p>
        </w:tc>
        <w:tc>
          <w:tcPr>
            <w:tcW w:w="1447" w:type="dxa"/>
            <w:vAlign w:val="center"/>
          </w:tcPr>
          <w:p w:rsidR="007C16B4" w:rsidRPr="00AC2C0E" w:rsidRDefault="007C16B4" w:rsidP="00AC2C0E">
            <w:pPr>
              <w:pStyle w:val="Standardparatable"/>
              <w:spacing w:before="60" w:after="60"/>
              <w:jc w:val="center"/>
              <w:rPr>
                <w:szCs w:val="22"/>
              </w:rPr>
            </w:pPr>
          </w:p>
        </w:tc>
      </w:tr>
      <w:tr w:rsidR="007C16B4" w:rsidRPr="00AC2C0E" w:rsidTr="00AC2C0E">
        <w:trPr>
          <w:trHeight w:val="415"/>
        </w:trPr>
        <w:tc>
          <w:tcPr>
            <w:tcW w:w="3676" w:type="dxa"/>
            <w:vAlign w:val="center"/>
          </w:tcPr>
          <w:p w:rsidR="007C16B4" w:rsidRPr="00AC2C0E" w:rsidRDefault="007C16B4" w:rsidP="00AC2C0E">
            <w:pPr>
              <w:pStyle w:val="Standardparatable"/>
              <w:spacing w:before="60" w:after="60"/>
              <w:rPr>
                <w:szCs w:val="22"/>
              </w:rPr>
            </w:pPr>
            <w:r w:rsidRPr="00AC2C0E">
              <w:rPr>
                <w:sz w:val="22"/>
                <w:szCs w:val="22"/>
              </w:rPr>
              <w:t>Termination</w:t>
            </w:r>
          </w:p>
        </w:tc>
        <w:tc>
          <w:tcPr>
            <w:tcW w:w="1566" w:type="dxa"/>
            <w:vAlign w:val="center"/>
          </w:tcPr>
          <w:p w:rsidR="007C16B4" w:rsidRPr="00AC2C0E" w:rsidRDefault="007C16B4" w:rsidP="00AC2C0E">
            <w:pPr>
              <w:pStyle w:val="Standardparatable"/>
              <w:spacing w:before="60" w:after="60"/>
              <w:jc w:val="center"/>
              <w:rPr>
                <w:szCs w:val="22"/>
              </w:rPr>
            </w:pPr>
            <w:r w:rsidRPr="00AC2C0E">
              <w:rPr>
                <w:sz w:val="22"/>
                <w:szCs w:val="22"/>
              </w:rPr>
              <w:t>100%</w:t>
            </w:r>
          </w:p>
        </w:tc>
        <w:tc>
          <w:tcPr>
            <w:tcW w:w="1447" w:type="dxa"/>
            <w:vAlign w:val="center"/>
          </w:tcPr>
          <w:p w:rsidR="007C16B4" w:rsidRPr="00AC2C0E" w:rsidRDefault="007C16B4" w:rsidP="00AC2C0E">
            <w:pPr>
              <w:pStyle w:val="Standardparatable"/>
              <w:spacing w:before="60" w:after="60"/>
              <w:jc w:val="center"/>
              <w:rPr>
                <w:szCs w:val="22"/>
              </w:rPr>
            </w:pPr>
          </w:p>
        </w:tc>
        <w:tc>
          <w:tcPr>
            <w:tcW w:w="1447" w:type="dxa"/>
            <w:vAlign w:val="center"/>
          </w:tcPr>
          <w:p w:rsidR="007C16B4" w:rsidRPr="00AC2C0E" w:rsidRDefault="007C16B4" w:rsidP="00AC2C0E">
            <w:pPr>
              <w:pStyle w:val="Standardparatable"/>
              <w:spacing w:before="60" w:after="60"/>
              <w:jc w:val="center"/>
              <w:rPr>
                <w:szCs w:val="22"/>
              </w:rPr>
            </w:pPr>
          </w:p>
        </w:tc>
      </w:tr>
      <w:tr w:rsidR="007C16B4" w:rsidRPr="00AC2C0E" w:rsidTr="00AC2C0E">
        <w:trPr>
          <w:trHeight w:val="415"/>
        </w:trPr>
        <w:tc>
          <w:tcPr>
            <w:tcW w:w="3676" w:type="dxa"/>
            <w:vAlign w:val="center"/>
          </w:tcPr>
          <w:p w:rsidR="007C16B4" w:rsidRPr="00AC2C0E" w:rsidRDefault="007C16B4" w:rsidP="00AC2C0E">
            <w:pPr>
              <w:pStyle w:val="Standardparatable"/>
              <w:spacing w:before="60" w:after="60"/>
              <w:rPr>
                <w:szCs w:val="22"/>
              </w:rPr>
            </w:pPr>
            <w:r w:rsidRPr="00AC2C0E">
              <w:rPr>
                <w:sz w:val="22"/>
                <w:szCs w:val="22"/>
              </w:rPr>
              <w:t>Technology and Obsolescence</w:t>
            </w:r>
          </w:p>
        </w:tc>
        <w:tc>
          <w:tcPr>
            <w:tcW w:w="1566" w:type="dxa"/>
            <w:vAlign w:val="center"/>
          </w:tcPr>
          <w:p w:rsidR="007C16B4" w:rsidRPr="00AC2C0E" w:rsidRDefault="007C16B4" w:rsidP="00AC2C0E">
            <w:pPr>
              <w:pStyle w:val="Standardparatable"/>
              <w:spacing w:before="60" w:after="60"/>
              <w:jc w:val="center"/>
              <w:rPr>
                <w:szCs w:val="22"/>
              </w:rPr>
            </w:pPr>
            <w:r w:rsidRPr="00AC2C0E">
              <w:rPr>
                <w:sz w:val="22"/>
                <w:szCs w:val="22"/>
              </w:rPr>
              <w:t>50%</w:t>
            </w:r>
          </w:p>
        </w:tc>
        <w:tc>
          <w:tcPr>
            <w:tcW w:w="1447" w:type="dxa"/>
            <w:vAlign w:val="center"/>
          </w:tcPr>
          <w:p w:rsidR="007C16B4" w:rsidRPr="00AC2C0E" w:rsidRDefault="007C16B4" w:rsidP="00AC2C0E">
            <w:pPr>
              <w:pStyle w:val="Standardparatable"/>
              <w:spacing w:before="60" w:after="60"/>
              <w:jc w:val="center"/>
              <w:rPr>
                <w:szCs w:val="22"/>
              </w:rPr>
            </w:pPr>
            <w:r w:rsidRPr="00AC2C0E">
              <w:rPr>
                <w:sz w:val="22"/>
                <w:szCs w:val="22"/>
              </w:rPr>
              <w:t>50%</w:t>
            </w:r>
          </w:p>
        </w:tc>
        <w:tc>
          <w:tcPr>
            <w:tcW w:w="1447" w:type="dxa"/>
            <w:vAlign w:val="center"/>
          </w:tcPr>
          <w:p w:rsidR="007C16B4" w:rsidRPr="00AC2C0E" w:rsidRDefault="007C16B4" w:rsidP="00AC2C0E">
            <w:pPr>
              <w:pStyle w:val="Standardparatable"/>
              <w:spacing w:before="60" w:after="60"/>
              <w:jc w:val="center"/>
              <w:rPr>
                <w:szCs w:val="22"/>
              </w:rPr>
            </w:pPr>
            <w:r w:rsidRPr="00AC2C0E">
              <w:rPr>
                <w:sz w:val="22"/>
                <w:szCs w:val="22"/>
              </w:rPr>
              <w:t>√</w:t>
            </w:r>
          </w:p>
        </w:tc>
      </w:tr>
      <w:tr w:rsidR="007C16B4" w:rsidRPr="00AC2C0E" w:rsidTr="00AC2C0E">
        <w:trPr>
          <w:trHeight w:val="415"/>
        </w:trPr>
        <w:tc>
          <w:tcPr>
            <w:tcW w:w="3676" w:type="dxa"/>
            <w:vAlign w:val="center"/>
          </w:tcPr>
          <w:p w:rsidR="007C16B4" w:rsidRPr="00AC2C0E" w:rsidRDefault="007C16B4" w:rsidP="00AC2C0E">
            <w:pPr>
              <w:pStyle w:val="Standardparatable"/>
              <w:spacing w:before="60" w:after="60"/>
              <w:rPr>
                <w:szCs w:val="22"/>
              </w:rPr>
            </w:pPr>
            <w:r w:rsidRPr="00AC2C0E">
              <w:rPr>
                <w:sz w:val="22"/>
                <w:szCs w:val="22"/>
              </w:rPr>
              <w:t>Control</w:t>
            </w:r>
          </w:p>
        </w:tc>
        <w:tc>
          <w:tcPr>
            <w:tcW w:w="1566" w:type="dxa"/>
            <w:vAlign w:val="center"/>
          </w:tcPr>
          <w:p w:rsidR="007C16B4" w:rsidRPr="00AC2C0E" w:rsidRDefault="007C16B4" w:rsidP="00AC2C0E">
            <w:pPr>
              <w:pStyle w:val="Standardparatable"/>
              <w:spacing w:before="60" w:after="60"/>
              <w:jc w:val="center"/>
              <w:rPr>
                <w:szCs w:val="22"/>
              </w:rPr>
            </w:pPr>
            <w:r w:rsidRPr="00AC2C0E">
              <w:rPr>
                <w:sz w:val="22"/>
                <w:szCs w:val="22"/>
              </w:rPr>
              <w:t>100%</w:t>
            </w:r>
          </w:p>
        </w:tc>
        <w:tc>
          <w:tcPr>
            <w:tcW w:w="1447" w:type="dxa"/>
            <w:vAlign w:val="center"/>
          </w:tcPr>
          <w:p w:rsidR="007C16B4" w:rsidRPr="00AC2C0E" w:rsidRDefault="007C16B4" w:rsidP="00AC2C0E">
            <w:pPr>
              <w:pStyle w:val="Standardparatable"/>
              <w:spacing w:before="60" w:after="60"/>
              <w:jc w:val="center"/>
              <w:rPr>
                <w:szCs w:val="22"/>
              </w:rPr>
            </w:pPr>
          </w:p>
        </w:tc>
        <w:tc>
          <w:tcPr>
            <w:tcW w:w="1447" w:type="dxa"/>
            <w:vAlign w:val="center"/>
          </w:tcPr>
          <w:p w:rsidR="007C16B4" w:rsidRPr="00AC2C0E" w:rsidRDefault="007C16B4" w:rsidP="00AC2C0E">
            <w:pPr>
              <w:pStyle w:val="Standardparatable"/>
              <w:spacing w:before="60" w:after="60"/>
              <w:jc w:val="center"/>
              <w:rPr>
                <w:szCs w:val="22"/>
              </w:rPr>
            </w:pPr>
          </w:p>
        </w:tc>
      </w:tr>
      <w:tr w:rsidR="007C16B4" w:rsidRPr="00AC2C0E" w:rsidTr="00AC2C0E">
        <w:trPr>
          <w:trHeight w:val="415"/>
        </w:trPr>
        <w:tc>
          <w:tcPr>
            <w:tcW w:w="3676" w:type="dxa"/>
            <w:vAlign w:val="center"/>
          </w:tcPr>
          <w:p w:rsidR="007C16B4" w:rsidRPr="00AC2C0E" w:rsidRDefault="007C16B4" w:rsidP="00AC2C0E">
            <w:pPr>
              <w:pStyle w:val="Standardparatable"/>
              <w:spacing w:before="60" w:after="60"/>
              <w:rPr>
                <w:szCs w:val="22"/>
              </w:rPr>
            </w:pPr>
            <w:r w:rsidRPr="00AC2C0E">
              <w:rPr>
                <w:sz w:val="22"/>
                <w:szCs w:val="22"/>
              </w:rPr>
              <w:t xml:space="preserve">Financing </w:t>
            </w:r>
          </w:p>
        </w:tc>
        <w:tc>
          <w:tcPr>
            <w:tcW w:w="1566" w:type="dxa"/>
            <w:vAlign w:val="center"/>
          </w:tcPr>
          <w:p w:rsidR="007C16B4" w:rsidRPr="00AC2C0E" w:rsidRDefault="007C16B4" w:rsidP="00AC2C0E">
            <w:pPr>
              <w:pStyle w:val="Standardparatable"/>
              <w:spacing w:before="60" w:after="60"/>
              <w:jc w:val="center"/>
              <w:rPr>
                <w:szCs w:val="22"/>
              </w:rPr>
            </w:pPr>
            <w:r w:rsidRPr="00AC2C0E">
              <w:rPr>
                <w:sz w:val="22"/>
                <w:szCs w:val="22"/>
              </w:rPr>
              <w:t>100%</w:t>
            </w:r>
          </w:p>
        </w:tc>
        <w:tc>
          <w:tcPr>
            <w:tcW w:w="1447" w:type="dxa"/>
            <w:vAlign w:val="center"/>
          </w:tcPr>
          <w:p w:rsidR="007C16B4" w:rsidRPr="00AC2C0E" w:rsidRDefault="007C16B4" w:rsidP="00AC2C0E">
            <w:pPr>
              <w:pStyle w:val="Standardparatable"/>
              <w:spacing w:before="60" w:after="60"/>
              <w:jc w:val="center"/>
              <w:rPr>
                <w:szCs w:val="22"/>
              </w:rPr>
            </w:pPr>
          </w:p>
        </w:tc>
        <w:tc>
          <w:tcPr>
            <w:tcW w:w="1447" w:type="dxa"/>
            <w:vAlign w:val="center"/>
          </w:tcPr>
          <w:p w:rsidR="007C16B4" w:rsidRPr="00AC2C0E" w:rsidRDefault="007C16B4" w:rsidP="00AC2C0E">
            <w:pPr>
              <w:pStyle w:val="Standardparatable"/>
              <w:spacing w:before="60" w:after="60"/>
              <w:jc w:val="center"/>
              <w:rPr>
                <w:szCs w:val="22"/>
              </w:rPr>
            </w:pPr>
          </w:p>
        </w:tc>
      </w:tr>
      <w:tr w:rsidR="007C16B4" w:rsidRPr="00AC2C0E" w:rsidTr="00AC2C0E">
        <w:trPr>
          <w:trHeight w:val="415"/>
        </w:trPr>
        <w:tc>
          <w:tcPr>
            <w:tcW w:w="3676" w:type="dxa"/>
            <w:vAlign w:val="center"/>
          </w:tcPr>
          <w:p w:rsidR="007C16B4" w:rsidRPr="00AC2C0E" w:rsidRDefault="007C16B4" w:rsidP="00AC2C0E">
            <w:pPr>
              <w:pStyle w:val="Standardparatable"/>
              <w:spacing w:before="60" w:after="60"/>
              <w:rPr>
                <w:szCs w:val="22"/>
              </w:rPr>
            </w:pPr>
            <w:r w:rsidRPr="00AC2C0E">
              <w:rPr>
                <w:sz w:val="22"/>
                <w:szCs w:val="22"/>
              </w:rPr>
              <w:t xml:space="preserve">Legislative </w:t>
            </w:r>
          </w:p>
        </w:tc>
        <w:tc>
          <w:tcPr>
            <w:tcW w:w="1566" w:type="dxa"/>
            <w:vAlign w:val="center"/>
          </w:tcPr>
          <w:p w:rsidR="007C16B4" w:rsidRPr="00AC2C0E" w:rsidRDefault="007C16B4" w:rsidP="00AC2C0E">
            <w:pPr>
              <w:pStyle w:val="Standardparatable"/>
              <w:spacing w:before="60" w:after="60"/>
              <w:jc w:val="center"/>
              <w:rPr>
                <w:szCs w:val="22"/>
              </w:rPr>
            </w:pPr>
            <w:r w:rsidRPr="00AC2C0E">
              <w:rPr>
                <w:sz w:val="22"/>
                <w:szCs w:val="22"/>
              </w:rPr>
              <w:t>100%</w:t>
            </w:r>
          </w:p>
        </w:tc>
        <w:tc>
          <w:tcPr>
            <w:tcW w:w="1447" w:type="dxa"/>
            <w:vAlign w:val="center"/>
          </w:tcPr>
          <w:p w:rsidR="007C16B4" w:rsidRPr="00AC2C0E" w:rsidRDefault="007C16B4" w:rsidP="00AC2C0E">
            <w:pPr>
              <w:pStyle w:val="Standardparatable"/>
              <w:spacing w:before="60" w:after="60"/>
              <w:jc w:val="center"/>
              <w:rPr>
                <w:szCs w:val="22"/>
              </w:rPr>
            </w:pPr>
          </w:p>
        </w:tc>
        <w:tc>
          <w:tcPr>
            <w:tcW w:w="1447" w:type="dxa"/>
            <w:vAlign w:val="center"/>
          </w:tcPr>
          <w:p w:rsidR="007C16B4" w:rsidRPr="00AC2C0E" w:rsidRDefault="007C16B4" w:rsidP="00AC2C0E">
            <w:pPr>
              <w:pStyle w:val="Standardparatable"/>
              <w:spacing w:before="60" w:after="60"/>
              <w:jc w:val="center"/>
              <w:rPr>
                <w:szCs w:val="22"/>
              </w:rPr>
            </w:pPr>
          </w:p>
        </w:tc>
      </w:tr>
      <w:tr w:rsidR="007C16B4" w:rsidRPr="00AC2C0E" w:rsidTr="00AC2C0E">
        <w:trPr>
          <w:trHeight w:val="415"/>
        </w:trPr>
        <w:tc>
          <w:tcPr>
            <w:tcW w:w="3676" w:type="dxa"/>
            <w:vAlign w:val="center"/>
          </w:tcPr>
          <w:p w:rsidR="007C16B4" w:rsidRPr="00AC2C0E" w:rsidRDefault="007C16B4" w:rsidP="00AC2C0E">
            <w:pPr>
              <w:pStyle w:val="Standardparatable"/>
              <w:spacing w:before="60" w:after="60"/>
              <w:rPr>
                <w:szCs w:val="22"/>
              </w:rPr>
            </w:pPr>
            <w:r w:rsidRPr="00AC2C0E">
              <w:rPr>
                <w:sz w:val="22"/>
                <w:szCs w:val="22"/>
              </w:rPr>
              <w:t>Other Project risks</w:t>
            </w:r>
          </w:p>
        </w:tc>
        <w:tc>
          <w:tcPr>
            <w:tcW w:w="1566" w:type="dxa"/>
            <w:vAlign w:val="center"/>
          </w:tcPr>
          <w:p w:rsidR="007C16B4" w:rsidRPr="00AC2C0E" w:rsidRDefault="007C16B4" w:rsidP="00AC2C0E">
            <w:pPr>
              <w:pStyle w:val="Standardparatable"/>
              <w:spacing w:before="60" w:after="60"/>
              <w:jc w:val="center"/>
              <w:rPr>
                <w:szCs w:val="22"/>
              </w:rPr>
            </w:pPr>
            <w:r w:rsidRPr="00AC2C0E">
              <w:rPr>
                <w:sz w:val="22"/>
                <w:szCs w:val="22"/>
              </w:rPr>
              <w:t>100%</w:t>
            </w:r>
          </w:p>
        </w:tc>
        <w:tc>
          <w:tcPr>
            <w:tcW w:w="1447" w:type="dxa"/>
            <w:vAlign w:val="center"/>
          </w:tcPr>
          <w:p w:rsidR="007C16B4" w:rsidRPr="00AC2C0E" w:rsidRDefault="007C16B4" w:rsidP="00AC2C0E">
            <w:pPr>
              <w:pStyle w:val="Standardparatable"/>
              <w:spacing w:before="60" w:after="60"/>
              <w:jc w:val="center"/>
              <w:rPr>
                <w:szCs w:val="22"/>
              </w:rPr>
            </w:pPr>
          </w:p>
        </w:tc>
        <w:tc>
          <w:tcPr>
            <w:tcW w:w="1447" w:type="dxa"/>
            <w:vAlign w:val="center"/>
          </w:tcPr>
          <w:p w:rsidR="007C16B4" w:rsidRPr="00AC2C0E" w:rsidRDefault="007C16B4" w:rsidP="00AC2C0E">
            <w:pPr>
              <w:pStyle w:val="Standardparatable"/>
              <w:spacing w:before="60" w:after="60"/>
              <w:jc w:val="center"/>
              <w:rPr>
                <w:szCs w:val="22"/>
              </w:rPr>
            </w:pPr>
          </w:p>
        </w:tc>
      </w:tr>
    </w:tbl>
    <w:p w:rsidR="002C54C3" w:rsidRDefault="002C54C3" w:rsidP="002C54C3">
      <w:pPr>
        <w:pStyle w:val="NoSpacing"/>
      </w:pPr>
    </w:p>
    <w:p w:rsidR="007C16B4" w:rsidRDefault="002C54C3" w:rsidP="002C54C3">
      <w:pPr>
        <w:pStyle w:val="Standardparagraph0"/>
        <w:rPr>
          <w:rFonts w:eastAsiaTheme="majorEastAsia" w:cstheme="majorBidi"/>
          <w:color w:val="000000" w:themeColor="text1"/>
          <w:sz w:val="28"/>
          <w:szCs w:val="28"/>
        </w:rPr>
      </w:pPr>
      <w:r>
        <w:t>When risk allocation has been defined within the project, the Board should seek to reflect this within the proposed contract but minimise contract amendments where possible.</w:t>
      </w:r>
      <w:r w:rsidR="007C16B4">
        <w:br w:type="page"/>
      </w:r>
    </w:p>
    <w:p w:rsidR="007C16B4" w:rsidRDefault="007C16B4" w:rsidP="007C16B4">
      <w:pPr>
        <w:pStyle w:val="Heading1"/>
      </w:pPr>
      <w:r>
        <w:lastRenderedPageBreak/>
        <w:t>Payment Structure</w:t>
      </w:r>
    </w:p>
    <w:p w:rsidR="007C16B4" w:rsidRDefault="007F6BBC" w:rsidP="007C16B4">
      <w:pPr>
        <w:pStyle w:val="NoSpacing"/>
      </w:pPr>
      <w:r>
        <w:rPr>
          <w:noProof/>
          <w:lang w:eastAsia="en-GB"/>
        </w:rPr>
        <w:pict>
          <v:group id="_x0000_s1501" style="position:absolute;left:0;text-align:left;margin-left:4.5pt;margin-top:.8pt;width:396pt;height:117pt;z-index:251881472" coordorigin="1530,2179" coordsize="7920,2340">
            <v:rect id="_x0000_s1502" style="position:absolute;left:5130;top:2179;width:4320;height:540;v-text-anchor:middle" fillcolor="#31849b [2408]">
              <v:textbox style="mso-next-textbox:#_x0000_s1502">
                <w:txbxContent>
                  <w:p w:rsidR="003863F9" w:rsidRPr="005B3097" w:rsidRDefault="003863F9" w:rsidP="007C16B4">
                    <w:pPr>
                      <w:spacing w:line="240" w:lineRule="auto"/>
                      <w:jc w:val="center"/>
                      <w:rPr>
                        <w:rFonts w:cs="Arial"/>
                        <w:b/>
                        <w:szCs w:val="24"/>
                      </w:rPr>
                    </w:pPr>
                    <w:r w:rsidRPr="005B3097">
                      <w:rPr>
                        <w:rFonts w:cs="Arial"/>
                        <w:b/>
                        <w:szCs w:val="24"/>
                      </w:rPr>
                      <w:t>Response</w:t>
                    </w:r>
                  </w:p>
                </w:txbxContent>
              </v:textbox>
            </v:rect>
            <v:rect id="_x0000_s1503" style="position:absolute;left:2490;top:2179;width:2400;height:540;v-text-anchor:middle" fillcolor="#31849b [2408]">
              <v:textbox style="mso-next-textbox:#_x0000_s1503">
                <w:txbxContent>
                  <w:p w:rsidR="003863F9" w:rsidRPr="005B3097" w:rsidRDefault="003863F9" w:rsidP="007C16B4">
                    <w:pPr>
                      <w:spacing w:line="240" w:lineRule="auto"/>
                      <w:jc w:val="center"/>
                      <w:rPr>
                        <w:rFonts w:cs="Arial"/>
                        <w:b/>
                        <w:szCs w:val="24"/>
                      </w:rPr>
                    </w:pPr>
                    <w:r w:rsidRPr="005B3097">
                      <w:rPr>
                        <w:rFonts w:cs="Arial"/>
                        <w:b/>
                        <w:szCs w:val="24"/>
                      </w:rPr>
                      <w:t>Question</w:t>
                    </w:r>
                  </w:p>
                </w:txbxContent>
              </v:textbox>
            </v:rect>
            <v:rect id="_x0000_s1504" style="position:absolute;left:1530;top:2899;width:720;height:1620;v-text-anchor:middle" fillcolor="#bfbfbf [2412]">
              <v:textbox style="layout-flow:vertical;mso-layout-flow-alt:bottom-to-top;mso-next-textbox:#_x0000_s1504">
                <w:txbxContent>
                  <w:p w:rsidR="003863F9" w:rsidRPr="005B3097" w:rsidRDefault="003863F9" w:rsidP="007C16B4">
                    <w:pPr>
                      <w:spacing w:line="240" w:lineRule="auto"/>
                      <w:jc w:val="center"/>
                      <w:rPr>
                        <w:rFonts w:cs="Arial"/>
                        <w:b/>
                        <w:sz w:val="18"/>
                        <w:szCs w:val="18"/>
                      </w:rPr>
                    </w:pPr>
                    <w:r>
                      <w:rPr>
                        <w:rFonts w:cs="Arial"/>
                        <w:b/>
                        <w:sz w:val="18"/>
                        <w:szCs w:val="18"/>
                      </w:rPr>
                      <w:t xml:space="preserve">Charging Mechanism </w:t>
                    </w:r>
                  </w:p>
                </w:txbxContent>
              </v:textbox>
            </v:rect>
            <v:rect id="_x0000_s1505" style="position:absolute;left:2490;top:2899;width:2400;height:1620;v-text-anchor:middle">
              <v:textbox style="mso-next-textbox:#_x0000_s1505">
                <w:txbxContent>
                  <w:p w:rsidR="003863F9" w:rsidRPr="00770637" w:rsidRDefault="003863F9" w:rsidP="007C16B4">
                    <w:pPr>
                      <w:spacing w:before="240" w:after="120" w:line="240" w:lineRule="auto"/>
                      <w:rPr>
                        <w:sz w:val="20"/>
                      </w:rPr>
                    </w:pPr>
                    <w:r w:rsidRPr="00190E84">
                      <w:rPr>
                        <w:rFonts w:cs="Arial"/>
                        <w:sz w:val="20"/>
                      </w:rPr>
                      <w:t>How is payment to be made over the</w:t>
                    </w:r>
                    <w:r w:rsidRPr="00190E84">
                      <w:rPr>
                        <w:sz w:val="20"/>
                      </w:rPr>
                      <w:t xml:space="preserve"> </w:t>
                    </w:r>
                    <w:r>
                      <w:rPr>
                        <w:sz w:val="20"/>
                      </w:rPr>
                      <w:t>life span of the contract?</w:t>
                    </w:r>
                  </w:p>
                </w:txbxContent>
              </v:textbox>
            </v:rect>
            <v:rect id="_x0000_s1506" style="position:absolute;left:5130;top:2899;width:4320;height:1620">
              <v:textbox style="mso-next-textbox:#_x0000_s1506">
                <w:txbxContent>
                  <w:p w:rsidR="003863F9" w:rsidRPr="00C602ED" w:rsidRDefault="003863F9" w:rsidP="007C16B4">
                    <w:pPr>
                      <w:spacing w:before="60" w:after="60" w:line="240" w:lineRule="auto"/>
                      <w:jc w:val="left"/>
                      <w:rPr>
                        <w:rFonts w:cs="Arial"/>
                        <w:sz w:val="20"/>
                      </w:rPr>
                    </w:pPr>
                    <w:r w:rsidRPr="00C602ED">
                      <w:rPr>
                        <w:rFonts w:cs="Arial"/>
                        <w:sz w:val="20"/>
                      </w:rPr>
                      <w:t>Outline:</w:t>
                    </w:r>
                  </w:p>
                  <w:p w:rsidR="003863F9" w:rsidRDefault="003863F9" w:rsidP="007C16B4">
                    <w:pPr>
                      <w:pStyle w:val="ListParagraph"/>
                      <w:numPr>
                        <w:ilvl w:val="0"/>
                        <w:numId w:val="11"/>
                      </w:numPr>
                      <w:spacing w:before="60" w:after="60" w:line="240" w:lineRule="auto"/>
                      <w:rPr>
                        <w:sz w:val="20"/>
                      </w:rPr>
                    </w:pPr>
                    <w:r>
                      <w:rPr>
                        <w:sz w:val="20"/>
                      </w:rPr>
                      <w:t>Proposed payment structure</w:t>
                    </w:r>
                  </w:p>
                  <w:p w:rsidR="003863F9" w:rsidRDefault="003863F9" w:rsidP="007C16B4">
                    <w:pPr>
                      <w:pStyle w:val="ListParagraph"/>
                      <w:numPr>
                        <w:ilvl w:val="0"/>
                        <w:numId w:val="11"/>
                      </w:numPr>
                      <w:spacing w:before="60" w:after="60" w:line="240" w:lineRule="auto"/>
                      <w:rPr>
                        <w:sz w:val="20"/>
                      </w:rPr>
                    </w:pPr>
                    <w:r>
                      <w:rPr>
                        <w:sz w:val="20"/>
                      </w:rPr>
                      <w:t>Non-standard arrangements</w:t>
                    </w:r>
                  </w:p>
                  <w:p w:rsidR="003863F9" w:rsidRPr="00C602ED" w:rsidRDefault="003863F9" w:rsidP="007C16B4">
                    <w:pPr>
                      <w:pStyle w:val="ListParagraph"/>
                      <w:numPr>
                        <w:ilvl w:val="0"/>
                        <w:numId w:val="11"/>
                      </w:numPr>
                      <w:spacing w:before="60" w:after="60" w:line="240" w:lineRule="auto"/>
                      <w:rPr>
                        <w:sz w:val="20"/>
                      </w:rPr>
                    </w:pPr>
                    <w:r>
                      <w:rPr>
                        <w:sz w:val="20"/>
                      </w:rPr>
                      <w:t>Other payment principles</w:t>
                    </w:r>
                  </w:p>
                  <w:p w:rsidR="003863F9" w:rsidRPr="00770637" w:rsidRDefault="003863F9" w:rsidP="007C16B4">
                    <w:pPr>
                      <w:spacing w:before="60" w:after="60" w:line="240" w:lineRule="auto"/>
                      <w:jc w:val="left"/>
                      <w:rPr>
                        <w:rFonts w:cs="Arial"/>
                        <w:sz w:val="20"/>
                      </w:rPr>
                    </w:pPr>
                  </w:p>
                </w:txbxContent>
              </v:textbox>
            </v:rect>
            <w10:wrap type="topAndBottom"/>
          </v:group>
        </w:pict>
      </w:r>
    </w:p>
    <w:p w:rsidR="007C16B4" w:rsidRDefault="007C16B4" w:rsidP="007C16B4">
      <w:pPr>
        <w:pStyle w:val="StandardParagraph"/>
      </w:pPr>
      <w:r>
        <w:t xml:space="preserve">The </w:t>
      </w:r>
      <w:r w:rsidR="00AC2C0E">
        <w:t xml:space="preserve">chosen </w:t>
      </w:r>
      <w:proofErr w:type="spellStart"/>
      <w:r w:rsidR="00AC2C0E">
        <w:t>NHSScot</w:t>
      </w:r>
      <w:r>
        <w:t>land</w:t>
      </w:r>
      <w:proofErr w:type="spellEnd"/>
      <w:r>
        <w:t xml:space="preserve"> national procurement route will dictate the payment structure to be adopted, with their main principles described below.  Where appropriate, one of the </w:t>
      </w:r>
      <w:r w:rsidR="000A1BB7">
        <w:t>following statements can be adapted</w:t>
      </w:r>
      <w:r>
        <w:t xml:space="preserve"> to describe the project’s planned payment structure, which should be edited to suit the particular project procurement option and any non-standard arrangements chosen.  Note that the Financial Case should be used to outline the project’s financial arrangements and costs</w:t>
      </w:r>
      <w:r w:rsidR="00AC2C0E">
        <w:t>,</w:t>
      </w:r>
      <w:r>
        <w:t xml:space="preserve"> and therefore does not need to be repeated here.</w:t>
      </w:r>
    </w:p>
    <w:p w:rsidR="007C16B4" w:rsidRPr="00B21B5C" w:rsidRDefault="007C16B4" w:rsidP="007C16B4">
      <w:pPr>
        <w:pStyle w:val="StandardBullet0"/>
      </w:pPr>
      <w:r>
        <w:t xml:space="preserve">Under </w:t>
      </w:r>
      <w:proofErr w:type="spellStart"/>
      <w:r w:rsidRPr="00B21B5C">
        <w:t>NHSScotland</w:t>
      </w:r>
      <w:proofErr w:type="spellEnd"/>
      <w:r>
        <w:t xml:space="preserve"> Fram</w:t>
      </w:r>
      <w:r w:rsidRPr="00B21B5C">
        <w:t xml:space="preserve">eworks Scotland 2 (FS2) PSCs and PSCPs are appointed under the Frameworks Scotland 2 NEC form of contract under Options A, C, E. Under option A </w:t>
      </w:r>
      <w:proofErr w:type="spellStart"/>
      <w:r w:rsidRPr="00B21B5C">
        <w:t>a</w:t>
      </w:r>
      <w:proofErr w:type="spellEnd"/>
      <w:r w:rsidRPr="00B21B5C">
        <w:t xml:space="preserve"> fixed price is submitted and payment made on completion of each activity in the activity schedule. Option C is a target price paid monthly up to the target cap (unless compensation events are added) Option E allows payment for time and materials applied.  </w:t>
      </w:r>
      <w:r>
        <w:t>The selected option will need to be stated.</w:t>
      </w:r>
    </w:p>
    <w:p w:rsidR="007C16B4" w:rsidRDefault="002C54C3" w:rsidP="002C54C3">
      <w:pPr>
        <w:pStyle w:val="StandardBullet0"/>
      </w:pPr>
      <w:r>
        <w:t>The H</w:t>
      </w:r>
      <w:r w:rsidR="007C16B4" w:rsidRPr="00B21B5C">
        <w:t>ub initiative can be revenue funded as a Design</w:t>
      </w:r>
      <w:r w:rsidR="007C16B4">
        <w:t>,</w:t>
      </w:r>
      <w:r w:rsidR="007C16B4" w:rsidRPr="00B21B5C">
        <w:t xml:space="preserve"> Build, Finance Manage (DBFM)</w:t>
      </w:r>
      <w:r w:rsidR="007C16B4">
        <w:t>,</w:t>
      </w:r>
      <w:r w:rsidR="007C16B4" w:rsidRPr="00B21B5C">
        <w:t xml:space="preserve"> or public capital funded as a Design and Build (D&amp;B) option. </w:t>
      </w:r>
      <w:r w:rsidR="007C16B4">
        <w:t xml:space="preserve"> </w:t>
      </w:r>
      <w:r w:rsidR="007C16B4" w:rsidRPr="00B21B5C">
        <w:t xml:space="preserve">Under the D&amp;B option traditional monthly payments are made to </w:t>
      </w:r>
      <w:r w:rsidR="007C16B4">
        <w:t xml:space="preserve">the private sector </w:t>
      </w:r>
      <w:proofErr w:type="spellStart"/>
      <w:r w:rsidR="007C16B4">
        <w:t>hubC</w:t>
      </w:r>
      <w:r w:rsidR="007C16B4" w:rsidRPr="00B21B5C">
        <w:t>o</w:t>
      </w:r>
      <w:proofErr w:type="spellEnd"/>
      <w:r w:rsidR="007C16B4" w:rsidRPr="00B21B5C">
        <w:t xml:space="preserve"> partners. Under DBFM </w:t>
      </w:r>
      <w:r w:rsidR="00AC2C0E">
        <w:t xml:space="preserve">some </w:t>
      </w:r>
      <w:r w:rsidR="007C16B4" w:rsidRPr="00B21B5C">
        <w:t xml:space="preserve">payments are made </w:t>
      </w:r>
      <w:r w:rsidR="000A1BB7">
        <w:t xml:space="preserve">to the private sector </w:t>
      </w:r>
      <w:proofErr w:type="spellStart"/>
      <w:r w:rsidR="000A1BB7">
        <w:t>hubC</w:t>
      </w:r>
      <w:r w:rsidR="000A1BB7" w:rsidRPr="00B21B5C">
        <w:t>o</w:t>
      </w:r>
      <w:proofErr w:type="spellEnd"/>
      <w:r w:rsidR="000A1BB7" w:rsidRPr="00B21B5C">
        <w:t xml:space="preserve"> partners </w:t>
      </w:r>
      <w:r w:rsidR="007C16B4" w:rsidRPr="00B21B5C">
        <w:t xml:space="preserve">on Stage 1 and 2 </w:t>
      </w:r>
      <w:proofErr w:type="gramStart"/>
      <w:r w:rsidR="007C16B4" w:rsidRPr="00B21B5C">
        <w:t>comple</w:t>
      </w:r>
      <w:r w:rsidR="00AC2C0E">
        <w:t>tion</w:t>
      </w:r>
      <w:proofErr w:type="gramEnd"/>
      <w:r w:rsidR="00AC2C0E">
        <w:t>, or otherwise, ongoing payments are made during the operational phase</w:t>
      </w:r>
      <w:r w:rsidR="000A1BB7">
        <w:t xml:space="preserve">.  Enhanced payment terms are </w:t>
      </w:r>
      <w:r>
        <w:t>also possible within the H</w:t>
      </w:r>
      <w:r w:rsidR="000A1BB7">
        <w:t>ub model</w:t>
      </w:r>
      <w:r>
        <w:t>, which considers fair and reasonable payment terms to designers and consultants and ensures compliance with maximum 30 day payment terms (see hub guidance for more details).</w:t>
      </w:r>
      <w:r w:rsidR="007C16B4">
        <w:br w:type="page"/>
      </w:r>
    </w:p>
    <w:p w:rsidR="007C16B4" w:rsidRDefault="007C16B4" w:rsidP="007C16B4">
      <w:pPr>
        <w:pStyle w:val="StandardParagraph"/>
      </w:pPr>
      <w:r>
        <w:lastRenderedPageBreak/>
        <w:t>The confirmed payment structure should be accompanied with a further statement addressing each of the following subjects (where appropriate), along with any other non-standard arrangements:</w:t>
      </w:r>
    </w:p>
    <w:p w:rsidR="007C16B4" w:rsidRDefault="007C16B4" w:rsidP="007C16B4">
      <w:pPr>
        <w:pStyle w:val="StandardBullet0"/>
      </w:pPr>
      <w:r>
        <w:t>Risk contingency management.</w:t>
      </w:r>
    </w:p>
    <w:p w:rsidR="007C16B4" w:rsidRDefault="007C16B4" w:rsidP="007C16B4">
      <w:pPr>
        <w:pStyle w:val="StandardBullet0"/>
      </w:pPr>
      <w:r>
        <w:t>Contract variations.</w:t>
      </w:r>
    </w:p>
    <w:p w:rsidR="007C16B4" w:rsidRDefault="007C16B4" w:rsidP="007C16B4">
      <w:pPr>
        <w:pStyle w:val="StandardBullet0"/>
      </w:pPr>
      <w:r>
        <w:t>Disputed payments.</w:t>
      </w:r>
    </w:p>
    <w:p w:rsidR="007C16B4" w:rsidRDefault="007C16B4" w:rsidP="007C16B4">
      <w:pPr>
        <w:pStyle w:val="StandardBullet0"/>
      </w:pPr>
      <w:r>
        <w:t>Payment indexation.</w:t>
      </w:r>
    </w:p>
    <w:p w:rsidR="007C16B4" w:rsidRDefault="007C16B4" w:rsidP="007C16B4">
      <w:pPr>
        <w:pStyle w:val="StandardBullet0"/>
      </w:pPr>
      <w:r>
        <w:t>Utilities and service connection charges.</w:t>
      </w:r>
    </w:p>
    <w:p w:rsidR="007C16B4" w:rsidRDefault="007C16B4" w:rsidP="007C16B4">
      <w:pPr>
        <w:pStyle w:val="StandardBullet0"/>
      </w:pPr>
      <w:r>
        <w:t>Performance incentives.</w:t>
      </w:r>
    </w:p>
    <w:p w:rsidR="007C16B4" w:rsidRDefault="007C16B4" w:rsidP="007C16B4">
      <w:pPr>
        <w:widowControl/>
        <w:tabs>
          <w:tab w:val="clear" w:pos="720"/>
          <w:tab w:val="clear" w:pos="1440"/>
          <w:tab w:val="clear" w:pos="2160"/>
          <w:tab w:val="clear" w:pos="2880"/>
          <w:tab w:val="clear" w:pos="4680"/>
          <w:tab w:val="clear" w:pos="5400"/>
          <w:tab w:val="clear" w:pos="9000"/>
        </w:tabs>
        <w:adjustRightInd/>
        <w:spacing w:after="200" w:line="276" w:lineRule="auto"/>
        <w:textAlignment w:val="auto"/>
      </w:pPr>
    </w:p>
    <w:p w:rsidR="007C16B4" w:rsidRDefault="007C16B4" w:rsidP="007C16B4">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pPr>
      <w:r>
        <w:br w:type="page"/>
      </w:r>
    </w:p>
    <w:p w:rsidR="007C16B4" w:rsidRPr="000178A6" w:rsidRDefault="007F6BBC" w:rsidP="007C16B4">
      <w:pPr>
        <w:pStyle w:val="Heading1"/>
      </w:pPr>
      <w:r>
        <w:rPr>
          <w:noProof/>
          <w:lang w:eastAsia="en-GB"/>
        </w:rPr>
        <w:lastRenderedPageBreak/>
        <w:pict>
          <v:group id="_x0000_s1507" style="position:absolute;left:0;text-align:left;margin-left:0;margin-top:37.15pt;width:396pt;height:117pt;z-index:251882496" coordorigin="1440,2235" coordsize="7920,2340">
            <v:rect id="_x0000_s1508" style="position:absolute;left:5040;top:2235;width:4320;height:540;v-text-anchor:middle" fillcolor="#31849b [2408]">
              <v:textbox style="mso-next-textbox:#_x0000_s1508">
                <w:txbxContent>
                  <w:p w:rsidR="003863F9" w:rsidRPr="005B3097" w:rsidRDefault="003863F9" w:rsidP="007C16B4">
                    <w:pPr>
                      <w:spacing w:line="240" w:lineRule="auto"/>
                      <w:jc w:val="center"/>
                      <w:rPr>
                        <w:rFonts w:cs="Arial"/>
                        <w:b/>
                        <w:szCs w:val="24"/>
                      </w:rPr>
                    </w:pPr>
                    <w:r w:rsidRPr="005B3097">
                      <w:rPr>
                        <w:rFonts w:cs="Arial"/>
                        <w:b/>
                        <w:szCs w:val="24"/>
                      </w:rPr>
                      <w:t>Response</w:t>
                    </w:r>
                  </w:p>
                </w:txbxContent>
              </v:textbox>
            </v:rect>
            <v:rect id="_x0000_s1509" style="position:absolute;left:2400;top:2235;width:2400;height:540;v-text-anchor:middle" fillcolor="#31849b [2408]">
              <v:textbox style="mso-next-textbox:#_x0000_s1509">
                <w:txbxContent>
                  <w:p w:rsidR="003863F9" w:rsidRPr="005B3097" w:rsidRDefault="003863F9" w:rsidP="007C16B4">
                    <w:pPr>
                      <w:spacing w:line="240" w:lineRule="auto"/>
                      <w:jc w:val="center"/>
                      <w:rPr>
                        <w:rFonts w:cs="Arial"/>
                        <w:b/>
                        <w:szCs w:val="24"/>
                      </w:rPr>
                    </w:pPr>
                    <w:r w:rsidRPr="005B3097">
                      <w:rPr>
                        <w:rFonts w:cs="Arial"/>
                        <w:b/>
                        <w:szCs w:val="24"/>
                      </w:rPr>
                      <w:t>Question</w:t>
                    </w:r>
                  </w:p>
                </w:txbxContent>
              </v:textbox>
            </v:rect>
            <v:rect id="_x0000_s1510" style="position:absolute;left:1440;top:2955;width:720;height:1620;v-text-anchor:middle" fillcolor="#bfbfbf [2412]">
              <v:textbox style="layout-flow:vertical;mso-layout-flow-alt:bottom-to-top;mso-next-textbox:#_x0000_s1510">
                <w:txbxContent>
                  <w:p w:rsidR="003863F9" w:rsidRPr="005B3097" w:rsidRDefault="003863F9" w:rsidP="007C16B4">
                    <w:pPr>
                      <w:spacing w:line="240" w:lineRule="auto"/>
                      <w:jc w:val="center"/>
                      <w:rPr>
                        <w:rFonts w:cs="Arial"/>
                        <w:b/>
                        <w:sz w:val="18"/>
                        <w:szCs w:val="18"/>
                      </w:rPr>
                    </w:pPr>
                    <w:r>
                      <w:rPr>
                        <w:rFonts w:cs="Arial"/>
                        <w:b/>
                        <w:sz w:val="18"/>
                        <w:szCs w:val="18"/>
                      </w:rPr>
                      <w:t xml:space="preserve">Contractual Arrangements </w:t>
                    </w:r>
                  </w:p>
                </w:txbxContent>
              </v:textbox>
            </v:rect>
            <v:rect id="_x0000_s1511" style="position:absolute;left:2400;top:2955;width:2400;height:1620;v-text-anchor:middle">
              <v:textbox style="mso-next-textbox:#_x0000_s1511">
                <w:txbxContent>
                  <w:p w:rsidR="003863F9" w:rsidRPr="00770637" w:rsidRDefault="003863F9" w:rsidP="007C16B4">
                    <w:pPr>
                      <w:spacing w:line="240" w:lineRule="auto"/>
                      <w:jc w:val="left"/>
                      <w:rPr>
                        <w:sz w:val="20"/>
                      </w:rPr>
                    </w:pPr>
                    <w:r w:rsidRPr="00770637">
                      <w:rPr>
                        <w:rFonts w:cs="Arial"/>
                        <w:sz w:val="20"/>
                      </w:rPr>
                      <w:t xml:space="preserve">What are the </w:t>
                    </w:r>
                    <w:r>
                      <w:rPr>
                        <w:rFonts w:cs="Arial"/>
                        <w:sz w:val="20"/>
                      </w:rPr>
                      <w:t xml:space="preserve">main </w:t>
                    </w:r>
                    <w:r w:rsidRPr="00770637">
                      <w:rPr>
                        <w:rFonts w:cs="Arial"/>
                        <w:sz w:val="20"/>
                      </w:rPr>
                      <w:t>contractual arrangements?</w:t>
                    </w:r>
                  </w:p>
                </w:txbxContent>
              </v:textbox>
            </v:rect>
            <v:rect id="_x0000_s1512" style="position:absolute;left:5040;top:2955;width:4320;height:1620">
              <v:textbox style="mso-next-textbox:#_x0000_s1512">
                <w:txbxContent>
                  <w:p w:rsidR="003863F9" w:rsidRPr="00770637" w:rsidRDefault="003863F9" w:rsidP="007C16B4">
                    <w:pPr>
                      <w:spacing w:before="60" w:after="60" w:line="240" w:lineRule="auto"/>
                      <w:jc w:val="left"/>
                      <w:rPr>
                        <w:rFonts w:cs="Arial"/>
                        <w:sz w:val="20"/>
                      </w:rPr>
                    </w:pPr>
                    <w:r w:rsidRPr="00770637">
                      <w:rPr>
                        <w:rFonts w:cs="Arial"/>
                        <w:sz w:val="20"/>
                      </w:rPr>
                      <w:t>Outline:</w:t>
                    </w:r>
                  </w:p>
                  <w:p w:rsidR="003863F9" w:rsidRPr="00F13B23" w:rsidRDefault="003863F9" w:rsidP="007C16B4">
                    <w:pPr>
                      <w:pStyle w:val="ListParagraph"/>
                      <w:numPr>
                        <w:ilvl w:val="0"/>
                        <w:numId w:val="11"/>
                      </w:numPr>
                      <w:spacing w:before="60" w:after="60" w:line="240" w:lineRule="auto"/>
                      <w:rPr>
                        <w:sz w:val="20"/>
                      </w:rPr>
                    </w:pPr>
                    <w:r w:rsidRPr="00F13B23">
                      <w:rPr>
                        <w:sz w:val="20"/>
                      </w:rPr>
                      <w:t>Type of contract</w:t>
                    </w:r>
                  </w:p>
                  <w:p w:rsidR="003863F9" w:rsidRPr="00F13B23" w:rsidRDefault="003863F9" w:rsidP="007C16B4">
                    <w:pPr>
                      <w:pStyle w:val="ListParagraph"/>
                      <w:numPr>
                        <w:ilvl w:val="0"/>
                        <w:numId w:val="11"/>
                      </w:numPr>
                      <w:spacing w:before="60" w:after="60" w:line="240" w:lineRule="auto"/>
                      <w:rPr>
                        <w:sz w:val="20"/>
                      </w:rPr>
                    </w:pPr>
                    <w:r w:rsidRPr="00F13B23">
                      <w:rPr>
                        <w:sz w:val="20"/>
                      </w:rPr>
                      <w:t>Key contractual issues</w:t>
                    </w:r>
                  </w:p>
                  <w:p w:rsidR="003863F9" w:rsidRPr="00F13B23" w:rsidRDefault="003863F9" w:rsidP="007C16B4">
                    <w:pPr>
                      <w:pStyle w:val="ListParagraph"/>
                      <w:numPr>
                        <w:ilvl w:val="0"/>
                        <w:numId w:val="11"/>
                      </w:numPr>
                      <w:spacing w:before="60" w:after="60" w:line="240" w:lineRule="auto"/>
                      <w:rPr>
                        <w:sz w:val="20"/>
                      </w:rPr>
                    </w:pPr>
                    <w:r w:rsidRPr="00F13B23">
                      <w:rPr>
                        <w:sz w:val="20"/>
                      </w:rPr>
                      <w:t>Personnel implications</w:t>
                    </w:r>
                  </w:p>
                  <w:p w:rsidR="003863F9" w:rsidRPr="00770637" w:rsidRDefault="003863F9" w:rsidP="007C16B4"/>
                </w:txbxContent>
              </v:textbox>
            </v:rect>
            <w10:wrap type="topAndBottom"/>
          </v:group>
        </w:pict>
      </w:r>
      <w:r w:rsidR="007C16B4" w:rsidRPr="000178A6">
        <w:t>Contractual Arrangements</w:t>
      </w:r>
    </w:p>
    <w:p w:rsidR="007C16B4" w:rsidRDefault="007C16B4" w:rsidP="007C16B4">
      <w:pPr>
        <w:pStyle w:val="NoSpacing"/>
      </w:pPr>
    </w:p>
    <w:p w:rsidR="007C16B4" w:rsidRDefault="007C16B4" w:rsidP="007C16B4">
      <w:pPr>
        <w:pStyle w:val="StandardParagraph"/>
      </w:pPr>
      <w:r>
        <w:t xml:space="preserve">This section will outline the contractual </w:t>
      </w:r>
      <w:r w:rsidRPr="0093257F">
        <w:t>arrangements</w:t>
      </w:r>
      <w:r>
        <w:t xml:space="preserve"> for the procurement, including the use of a particular contract, the key contractual issues for the commercial deal, and any personnel implications:</w:t>
      </w:r>
    </w:p>
    <w:p w:rsidR="007C16B4" w:rsidRPr="000D72B7" w:rsidRDefault="007C16B4" w:rsidP="007C16B4">
      <w:pPr>
        <w:pStyle w:val="Heading2"/>
      </w:pPr>
      <w:r w:rsidRPr="000D72B7">
        <w:tab/>
        <w:t xml:space="preserve">Type of Contract </w:t>
      </w:r>
    </w:p>
    <w:p w:rsidR="007C16B4" w:rsidRDefault="007C16B4" w:rsidP="007C16B4">
      <w:pPr>
        <w:pStyle w:val="StandardParagraph"/>
      </w:pPr>
      <w:r>
        <w:t xml:space="preserve">This section will describe the standard </w:t>
      </w:r>
      <w:r w:rsidRPr="00273C03">
        <w:t xml:space="preserve">form of contract </w:t>
      </w:r>
      <w:r>
        <w:t>to be used,</w:t>
      </w:r>
      <w:r w:rsidRPr="00273C03">
        <w:t xml:space="preserve"> as linked to the chosen procurement route.</w:t>
      </w:r>
      <w:r>
        <w:t xml:space="preserve"> Under FS2 this would include the Contract Option (if known) and under hub whether it will be D&amp;B or DBFM.</w:t>
      </w:r>
    </w:p>
    <w:p w:rsidR="007C16B4" w:rsidRPr="000D72B7" w:rsidRDefault="007C16B4" w:rsidP="007C16B4">
      <w:pPr>
        <w:pStyle w:val="Heading2"/>
      </w:pPr>
      <w:r w:rsidRPr="000D72B7">
        <w:tab/>
        <w:t>Key Contractual Issues</w:t>
      </w:r>
    </w:p>
    <w:p w:rsidR="007C16B4" w:rsidRDefault="007C16B4" w:rsidP="007C16B4">
      <w:pPr>
        <w:pStyle w:val="StandardParagraph"/>
      </w:pPr>
      <w:r w:rsidRPr="00CD627E">
        <w:t xml:space="preserve">Contract management arrangements and key contractual issues should be considered and </w:t>
      </w:r>
      <w:r>
        <w:t xml:space="preserve">their current status </w:t>
      </w:r>
      <w:r w:rsidRPr="00CD627E">
        <w:t xml:space="preserve">recorded </w:t>
      </w:r>
      <w:r>
        <w:t>in the OBC. These will vary with</w:t>
      </w:r>
      <w:r w:rsidRPr="00CD627E">
        <w:t xml:space="preserve"> proj</w:t>
      </w:r>
      <w:r>
        <w:t>ect and procurement route</w:t>
      </w:r>
      <w:r w:rsidRPr="00CD627E">
        <w:t xml:space="preserve">, but there is commonality across the exemplar headings below that </w:t>
      </w:r>
      <w:r w:rsidRPr="005E30D6">
        <w:t>allows identification and discussion within this section of the OBC for the specified</w:t>
      </w:r>
      <w:r>
        <w:t xml:space="preserve"> project and procurement route:</w:t>
      </w:r>
    </w:p>
    <w:p w:rsidR="007C16B4" w:rsidRPr="0093257F" w:rsidRDefault="007C16B4" w:rsidP="007C16B4">
      <w:pPr>
        <w:pStyle w:val="StandardBullet0"/>
      </w:pPr>
      <w:r>
        <w:t>C</w:t>
      </w:r>
      <w:r w:rsidRPr="0093257F">
        <w:t>ontract duration</w:t>
      </w:r>
      <w:r>
        <w:t xml:space="preserve"> and any key milestones within the term of the contract.</w:t>
      </w:r>
      <w:r w:rsidRPr="0093257F">
        <w:t xml:space="preserve"> </w:t>
      </w:r>
    </w:p>
    <w:p w:rsidR="007C16B4" w:rsidRDefault="007C16B4" w:rsidP="007C16B4">
      <w:pPr>
        <w:pStyle w:val="StandardBullet0"/>
      </w:pPr>
      <w:r>
        <w:t xml:space="preserve">Roles, </w:t>
      </w:r>
      <w:r w:rsidRPr="0093257F">
        <w:t>responsibilities</w:t>
      </w:r>
      <w:r>
        <w:t xml:space="preserve"> and governance arrangements of client and contracting partners </w:t>
      </w:r>
      <w:r w:rsidR="00AC2C0E">
        <w:t>in relation to the proposed arrangements</w:t>
      </w:r>
      <w:r>
        <w:t>.</w:t>
      </w:r>
    </w:p>
    <w:p w:rsidR="007C16B4" w:rsidRPr="0093257F" w:rsidRDefault="007C16B4" w:rsidP="007C16B4">
      <w:pPr>
        <w:pStyle w:val="StandardBullet0"/>
      </w:pPr>
      <w:r>
        <w:t>Asset ownership arrangements (including land) and maintenance responsibilities.</w:t>
      </w:r>
      <w:r w:rsidRPr="0093257F">
        <w:t xml:space="preserve"> </w:t>
      </w:r>
    </w:p>
    <w:p w:rsidR="007C16B4" w:rsidRPr="0093257F" w:rsidRDefault="007C16B4" w:rsidP="007C16B4">
      <w:pPr>
        <w:pStyle w:val="StandardBullet0"/>
      </w:pPr>
      <w:r>
        <w:t>R</w:t>
      </w:r>
      <w:r w:rsidRPr="0093257F">
        <w:t>emedies in event of failure</w:t>
      </w:r>
      <w:r>
        <w:t xml:space="preserve"> of the Preferred Partner / Contractor and Service Provider(s).</w:t>
      </w:r>
    </w:p>
    <w:p w:rsidR="007C16B4" w:rsidRPr="0093257F" w:rsidRDefault="007C16B4" w:rsidP="007C16B4">
      <w:pPr>
        <w:pStyle w:val="StandardBullet0"/>
      </w:pPr>
      <w:r>
        <w:lastRenderedPageBreak/>
        <w:t>C</w:t>
      </w:r>
      <w:r w:rsidRPr="0093257F">
        <w:t>ompliance</w:t>
      </w:r>
      <w:r>
        <w:t xml:space="preserve"> with appropriate regulations and standards etc.</w:t>
      </w:r>
      <w:r w:rsidRPr="0093257F">
        <w:t xml:space="preserve"> </w:t>
      </w:r>
    </w:p>
    <w:p w:rsidR="007C16B4" w:rsidRPr="0093257F" w:rsidRDefault="007C16B4" w:rsidP="007C16B4">
      <w:pPr>
        <w:pStyle w:val="StandardBullet0"/>
      </w:pPr>
      <w:r>
        <w:t>D</w:t>
      </w:r>
      <w:r w:rsidRPr="0093257F">
        <w:t>ispute resolution</w:t>
      </w:r>
      <w:r>
        <w:t xml:space="preserve"> procedures.</w:t>
      </w:r>
      <w:r w:rsidRPr="0093257F">
        <w:t xml:space="preserve"> </w:t>
      </w:r>
    </w:p>
    <w:p w:rsidR="007C16B4" w:rsidRPr="0093257F" w:rsidRDefault="007C16B4" w:rsidP="007C16B4">
      <w:pPr>
        <w:pStyle w:val="StandardBullet0"/>
      </w:pPr>
      <w:r>
        <w:t>O</w:t>
      </w:r>
      <w:r w:rsidRPr="0093257F">
        <w:t>perational and contract administration</w:t>
      </w:r>
      <w:r>
        <w:t xml:space="preserve"> arrangements.</w:t>
      </w:r>
    </w:p>
    <w:p w:rsidR="007C16B4" w:rsidRDefault="007C16B4" w:rsidP="007C16B4">
      <w:pPr>
        <w:pStyle w:val="Heading2"/>
      </w:pPr>
      <w:r w:rsidRPr="002306CB">
        <w:tab/>
        <w:t>Personnel Implications</w:t>
      </w:r>
    </w:p>
    <w:p w:rsidR="007C16B4" w:rsidRDefault="007C16B4" w:rsidP="007C16B4">
      <w:pPr>
        <w:pStyle w:val="StandardParagraph"/>
      </w:pPr>
      <w:r>
        <w:t xml:space="preserve">As public sector organisations are legally and morally obliged to involve their staff and representatives in a process of continuous dialogue during projects involving considerable internal change, the OBC will need to state explicitly whether there are any contractually based </w:t>
      </w:r>
      <w:proofErr w:type="gramStart"/>
      <w:r>
        <w:t>personnel  implications</w:t>
      </w:r>
      <w:proofErr w:type="gramEnd"/>
      <w:r>
        <w:t xml:space="preserve"> to the scheme e.g.</w:t>
      </w:r>
    </w:p>
    <w:p w:rsidR="007C16B4" w:rsidRDefault="007C16B4" w:rsidP="007C16B4">
      <w:pPr>
        <w:pStyle w:val="StandardBullet0"/>
      </w:pPr>
      <w:r>
        <w:t xml:space="preserve">Confirmation that codes of practice are in place for the well being and management of staff (within the public sector). </w:t>
      </w:r>
    </w:p>
    <w:p w:rsidR="007C16B4" w:rsidRDefault="007C16B4" w:rsidP="007C16B4">
      <w:pPr>
        <w:pStyle w:val="StandardBullet0"/>
      </w:pPr>
      <w:r>
        <w:t>Whether the Transfer of Undertakings (Protection of Employment) Regulations 1981 (TUPE) will apply, directly or indirectly;</w:t>
      </w:r>
    </w:p>
    <w:p w:rsidR="007C16B4" w:rsidRDefault="007C16B4" w:rsidP="007C16B4">
      <w:pPr>
        <w:pStyle w:val="StandardBullet0"/>
      </w:pPr>
      <w:r>
        <w:t>Details of any terms regarding subsequent transfers at market testing intervals (if these apply)</w:t>
      </w:r>
    </w:p>
    <w:p w:rsidR="007C16B4" w:rsidRDefault="007C16B4" w:rsidP="007C16B4">
      <w:pPr>
        <w:pStyle w:val="StandardBullet0"/>
      </w:pPr>
      <w:r>
        <w:t>Descriptions of terms regarding Trade Union recognition (if these apply)</w:t>
      </w:r>
    </w:p>
    <w:p w:rsidR="007C16B4" w:rsidRDefault="007C16B4" w:rsidP="007C16B4">
      <w:pPr>
        <w:pStyle w:val="StandardBullet0"/>
      </w:pPr>
      <w:r>
        <w:t>Details of requirements for broadly comparable pensions for staff upon transfer (if these apply)</w:t>
      </w:r>
    </w:p>
    <w:p w:rsidR="007C16B4" w:rsidRPr="001F5EED" w:rsidRDefault="007C16B4" w:rsidP="00DA3F75">
      <w:pPr>
        <w:pStyle w:val="StandardParagraph"/>
      </w:pPr>
      <w:r>
        <w:t>All other non-commercial personnel matters associated with this project should be described within the Management Case.</w:t>
      </w:r>
    </w:p>
    <w:p w:rsidR="00DA3F75" w:rsidRPr="00F8413B" w:rsidRDefault="00DA3F75" w:rsidP="00DA3F75">
      <w:pPr>
        <w:pStyle w:val="StandardParagraph"/>
      </w:pPr>
    </w:p>
    <w:p w:rsidR="00DA3F75" w:rsidRDefault="00DA3F75">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sectPr w:rsidR="00DA3F75" w:rsidSect="0074472F">
          <w:footerReference w:type="default" r:id="rId15"/>
          <w:pgSz w:w="11906" w:h="16838"/>
          <w:pgMar w:top="1588" w:right="1440" w:bottom="1440" w:left="1440" w:header="709" w:footer="709" w:gutter="0"/>
          <w:cols w:space="708"/>
          <w:docGrid w:linePitch="360"/>
        </w:sectPr>
      </w:pPr>
    </w:p>
    <w:p w:rsidR="00DA3F75" w:rsidRPr="00D0670F" w:rsidRDefault="00DA3F75" w:rsidP="00515AF9">
      <w:pPr>
        <w:pStyle w:val="SectionHeading"/>
      </w:pPr>
      <w:bookmarkStart w:id="9" w:name="_Toc463443356"/>
      <w:r>
        <w:lastRenderedPageBreak/>
        <w:t>F</w:t>
      </w:r>
      <w:r w:rsidR="00515AF9">
        <w:t>INANCIAL CASE</w:t>
      </w:r>
      <w:bookmarkEnd w:id="9"/>
    </w:p>
    <w:p w:rsidR="00DA3F75" w:rsidRPr="00D0670F" w:rsidRDefault="00515AF9" w:rsidP="00515AF9">
      <w:pPr>
        <w:pStyle w:val="Heading1"/>
      </w:pPr>
      <w:r>
        <w:t xml:space="preserve">Financial Case: </w:t>
      </w:r>
      <w:r w:rsidR="00DA3F75" w:rsidRPr="00D0670F">
        <w:t>Introduction</w:t>
      </w:r>
    </w:p>
    <w:p w:rsidR="001F5EED" w:rsidRDefault="001F5EED" w:rsidP="001F5EED">
      <w:pPr>
        <w:pStyle w:val="Heading2"/>
        <w:jc w:val="left"/>
      </w:pPr>
      <w:r>
        <w:t>Overview</w:t>
      </w:r>
    </w:p>
    <w:p w:rsidR="001F5EED" w:rsidRPr="00D0670F" w:rsidRDefault="001F5EED" w:rsidP="001F5EED">
      <w:pPr>
        <w:pStyle w:val="StandardParagraph"/>
      </w:pPr>
      <w:r w:rsidRPr="00D0670F">
        <w:t xml:space="preserve">The purpose of </w:t>
      </w:r>
      <w:r>
        <w:t xml:space="preserve">the Financial Case </w:t>
      </w:r>
      <w:r w:rsidRPr="00D0670F">
        <w:t xml:space="preserve">is to </w:t>
      </w:r>
      <w:r>
        <w:t xml:space="preserve">demonstrate </w:t>
      </w:r>
      <w:r w:rsidRPr="00D0670F">
        <w:t xml:space="preserve">the affordability of the preferred option, </w:t>
      </w:r>
      <w:r>
        <w:t xml:space="preserve">both </w:t>
      </w:r>
      <w:r w:rsidRPr="00D0670F">
        <w:t xml:space="preserve">in </w:t>
      </w:r>
      <w:r>
        <w:t xml:space="preserve">the context of the Board’s overall financial plans and in comparison with </w:t>
      </w:r>
      <w:r w:rsidRPr="00D0670F">
        <w:t>the other short-listed options</w:t>
      </w:r>
      <w:r>
        <w:t>.</w:t>
      </w:r>
      <w:r w:rsidRPr="00D0670F" w:rsidDel="00BF2FB8">
        <w:t xml:space="preserve"> </w:t>
      </w:r>
      <w:r w:rsidRPr="00D0670F">
        <w:t>In practice, this involves determining:</w:t>
      </w:r>
    </w:p>
    <w:p w:rsidR="001F5EED" w:rsidRPr="00D0670F" w:rsidRDefault="001F5EED" w:rsidP="001F5EED">
      <w:pPr>
        <w:pStyle w:val="Standardbullet"/>
      </w:pPr>
      <w:r>
        <w:t>T</w:t>
      </w:r>
      <w:r w:rsidRPr="00D0670F">
        <w:t xml:space="preserve">he financial profile </w:t>
      </w:r>
      <w:r>
        <w:t xml:space="preserve">and funding consequences (both capital and revenue) </w:t>
      </w:r>
      <w:r w:rsidRPr="00D0670F">
        <w:t xml:space="preserve">of </w:t>
      </w:r>
      <w:r>
        <w:t>the preferred option, as well as sufficient information on the consequences of other short-listed options to set the preferred option in context; and</w:t>
      </w:r>
    </w:p>
    <w:p w:rsidR="001F5EED" w:rsidRDefault="007F6BBC" w:rsidP="001F5EED">
      <w:pPr>
        <w:pStyle w:val="Standardbullet"/>
      </w:pPr>
      <w:r w:rsidRPr="007F6BBC">
        <w:rPr>
          <w:noProof/>
          <w:color w:val="000000" w:themeColor="text1"/>
        </w:rPr>
        <w:pict>
          <v:group id="Group 432" o:spid="_x0000_s1537" style="position:absolute;left:0;text-align:left;margin-left:7.9pt;margin-top:101.65pt;width:387.65pt;height:300.75pt;z-index:251886592" coordorigin="1440,1440" coordsize="792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">
            <v:rect id="Rectangle 433" o:spid="_x0000_s1538" style="position:absolute;left:2340;top:1440;width:7020;height: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v1JsAA&#10;AADaAAAADwAAAGRycy9kb3ducmV2LnhtbESPQYvCMBSE7wv+h/AEb2uqwrJWo2hB8CTo6v3ZPNtq&#10;81KTqPXfmwXB4zAz3zDTeWtqcSfnK8sKBv0EBHFudcWFgv3f6vsXhA/IGmvLpOBJHuazztcUU20f&#10;vKX7LhQiQtinqKAMoUml9HlJBn3fNsTRO1lnMETpCqkdPiLc1HKYJD/SYMVxocSGspLyy+5mIuV8&#10;CMvVc3R1x5r348Ngk12zjVK9bruYgAjUhk/43V5rBUP4vxJvgJ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8v1JsAAAADaAAAADwAAAAAAAAAAAAAAAACYAgAAZHJzL2Rvd25y&#10;ZXYueG1sUEsFBgAAAAAEAAQA9QAAAIUDAAAAAA==&#10;" fillcolor="#1f497d [3215]">
              <v:textbox>
                <w:txbxContent>
                  <w:p w:rsidR="003863F9" w:rsidRPr="008C12B1" w:rsidRDefault="003863F9" w:rsidP="001F5EED">
                    <w:pPr>
                      <w:spacing w:line="240" w:lineRule="auto"/>
                      <w:jc w:val="center"/>
                      <w:rPr>
                        <w:rFonts w:cs="Arial"/>
                        <w:b/>
                        <w:color w:val="FFFFFF" w:themeColor="background1"/>
                        <w:sz w:val="28"/>
                        <w:szCs w:val="28"/>
                      </w:rPr>
                    </w:pPr>
                    <w:r>
                      <w:rPr>
                        <w:rFonts w:cs="Arial"/>
                        <w:b/>
                        <w:color w:val="FFFFFF" w:themeColor="background1"/>
                        <w:sz w:val="28"/>
                        <w:szCs w:val="28"/>
                      </w:rPr>
                      <w:t>Financial Case</w:t>
                    </w:r>
                  </w:p>
                </w:txbxContent>
              </v:textbox>
            </v:rect>
            <v:rect id="Rectangle 434" o:spid="_x0000_s1539" style="position:absolute;left:1440;top:4140;width:72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qqcMA&#10;AADaAAAADwAAAGRycy9kb3ducmV2LnhtbESPS2vDMBCE74X8B7GF3Bq5DW2CGyWEUIMPxZBXz4u1&#10;fhBrZSz5kX8fFQo9DjPzDbPZTaYRA3WutqzgdRGBIM6trrlUcDknL2sQziNrbCyTgjs52G1nTxuM&#10;tR35SMPJlyJA2MWooPK+jaV0eUUG3cK2xMErbGfQB9mVUnc4Brhp5FsUfUiDNYeFCls6VJTfTr1R&#10;kF6bpDhe+vVP8Z1l9SG7pe+rL6Xmz9P+E4Snyf+H/9qpVrCE3yvhBs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ZqqcMAAADaAAAADwAAAAAAAAAAAAAAAACYAgAAZHJzL2Rv&#10;d25yZXYueG1sUEsFBgAAAAAEAAQA9QAAAIgDAAAAAA==&#10;" fillcolor="#bfbfbf [2412]">
              <v:textbox>
                <w:txbxContent>
                  <w:p w:rsidR="003863F9" w:rsidRPr="00160BC0" w:rsidRDefault="003863F9" w:rsidP="001F5EED">
                    <w:pPr>
                      <w:jc w:val="center"/>
                      <w:rPr>
                        <w:rFonts w:cs="Arial"/>
                        <w:b/>
                        <w:szCs w:val="18"/>
                      </w:rPr>
                    </w:pPr>
                    <w:r>
                      <w:rPr>
                        <w:rFonts w:cs="Arial"/>
                        <w:b/>
                        <w:szCs w:val="18"/>
                      </w:rPr>
                      <w:t>2.</w:t>
                    </w:r>
                  </w:p>
                </w:txbxContent>
              </v:textbox>
            </v:rect>
            <v:rect id="Rectangle 435" o:spid="_x0000_s1540" style="position:absolute;left:5040;top:2880;width:432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l2Z8QA&#10;AADaAAAADwAAAGRycy9kb3ducmV2LnhtbESPQWvCQBSE74X+h+UVvEjdWER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7pdmfEAAAA2gAAAA8AAAAAAAAAAAAAAAAAmAIAAGRycy9k&#10;b3ducmV2LnhtbFBLBQYAAAAABAAEAPUAAACJAwAAAAA=&#10;">
              <v:textbox>
                <w:txbxContent>
                  <w:p w:rsidR="003863F9" w:rsidRPr="007D25B4" w:rsidRDefault="003863F9" w:rsidP="001F5EED">
                    <w:pPr>
                      <w:spacing w:line="240" w:lineRule="auto"/>
                      <w:contextualSpacing/>
                      <w:jc w:val="left"/>
                      <w:rPr>
                        <w:sz w:val="20"/>
                      </w:rPr>
                    </w:pPr>
                    <w:proofErr w:type="gramStart"/>
                    <w:r w:rsidRPr="007D25B4">
                      <w:rPr>
                        <w:sz w:val="20"/>
                      </w:rPr>
                      <w:t>Detailed narrative &amp; summary information on key inputs to financial model</w:t>
                    </w:r>
                    <w:r w:rsidRPr="007D25B4">
                      <w:rPr>
                        <w:rFonts w:cs="Arial"/>
                        <w:sz w:val="20"/>
                      </w:rPr>
                      <w:t>.</w:t>
                    </w:r>
                    <w:proofErr w:type="gramEnd"/>
                  </w:p>
                </w:txbxContent>
              </v:textbox>
            </v:rect>
            <v:rect id="Rectangle 436" o:spid="_x0000_s1541" style="position:absolute;left:2340;top:2880;width:2518;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XT/MQA&#10;AADaAAAADwAAAGRycy9kb3ducmV2LnhtbESPQWvCQBSE74X+h+UVvEjdWFBK6iqhKFXswSS99PbI&#10;vmZDs29Ddo3x37tCocdhZr5hVpvRtmKg3jeOFcxnCQjiyumGawVf5e75FYQPyBpbx6TgSh4268eH&#10;FabaXTinoQi1iBD2KSowIXSplL4yZNHPXEccvR/XWwxR9rXUPV4i3LbyJUmW0mLDccFgR++Gqt/i&#10;bBV8u0+3zRL66Ex5CMM0y4+nIldq8jRmbyACjeE//NfeawULuF+JN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l0/zEAAAA2gAAAA8AAAAAAAAAAAAAAAAAmAIAAGRycy9k&#10;b3ducmV2LnhtbFBLBQYAAAAABAAEAPUAAACJAwAAAAA=&#10;">
              <v:textbox>
                <w:txbxContent>
                  <w:p w:rsidR="003863F9" w:rsidRPr="007D25B4" w:rsidRDefault="003863F9" w:rsidP="001F5EED">
                    <w:pPr>
                      <w:spacing w:line="240" w:lineRule="auto"/>
                      <w:jc w:val="left"/>
                      <w:rPr>
                        <w:rFonts w:cs="Arial"/>
                        <w:sz w:val="22"/>
                        <w:szCs w:val="22"/>
                      </w:rPr>
                    </w:pPr>
                    <w:r w:rsidRPr="007D25B4">
                      <w:rPr>
                        <w:rFonts w:cs="Arial"/>
                        <w:sz w:val="22"/>
                        <w:szCs w:val="22"/>
                      </w:rPr>
                      <w:t>Prepare the financial model</w:t>
                    </w:r>
                  </w:p>
                </w:txbxContent>
              </v:textbox>
            </v:rect>
            <v:rect id="Rectangle 437" o:spid="_x0000_s1542" style="position:absolute;left:1440;top:2880;width:72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HJMcMA&#10;AADaAAAADwAAAGRycy9kb3ducmV2LnhtbESPT2vCQBTE74V+h+UJvdWNhUaJriKhgRxKIGp7fmRf&#10;/mD2bciumn77riB4HGbmN8xmN5leXGl0nWUFi3kEgriyuuNGwemYva9AOI+ssbdMCv7IwW77+rLB&#10;RNsbl3Q9+EYECLsEFbTeD4mUrmrJoJvbgTh4tR0N+iDHRuoRbwFuevkRRbE02HFYaHGgtKXqfLgY&#10;BflPn9Xl6bL6rb+LokuLc/65/FLqbTbt1yA8Tf4ZfrRzrSCG+5Vw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HJMcMAAADaAAAADwAAAAAAAAAAAAAAAACYAgAAZHJzL2Rv&#10;d25yZXYueG1sUEsFBgAAAAAEAAQA9QAAAIgDAAAAAA==&#10;" fillcolor="#bfbfbf [2412]">
              <v:textbox>
                <w:txbxContent>
                  <w:p w:rsidR="003863F9" w:rsidRPr="00160BC0" w:rsidRDefault="003863F9" w:rsidP="001F5EED">
                    <w:pPr>
                      <w:jc w:val="center"/>
                      <w:rPr>
                        <w:rFonts w:cs="Arial"/>
                        <w:b/>
                        <w:szCs w:val="18"/>
                      </w:rPr>
                    </w:pPr>
                    <w:r w:rsidRPr="00160BC0">
                      <w:rPr>
                        <w:rFonts w:cs="Arial"/>
                        <w:b/>
                        <w:szCs w:val="18"/>
                      </w:rPr>
                      <w:t>1.</w:t>
                    </w:r>
                  </w:p>
                </w:txbxContent>
              </v:textbox>
            </v:rect>
            <v:rect id="Rectangle 438" o:spid="_x0000_s1543" style="position:absolute;left:5040;top:2160;width:4320;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8yesUA&#10;AADaAAAADwAAAGRycy9kb3ducmV2LnhtbESPT2vCQBTE74LfYXmCt7pRaW1TV1FpwYOK/yD09sg+&#10;k2D2bchuNfrp3ULB4zAzv2HG08aU4kK1Kywr6PciEMSp1QVnCo6H75d3EM4jaywtk4IbOZhO2q0x&#10;xtpeeUeXvc9EgLCLUUHufRVL6dKcDLqerYiDd7K1QR9knUld4zXATSkHUfQmDRYcFnKsaJFTet7/&#10;GgVfScLNejO/bY+HZHgvXqv56uNHqW6nmX2C8NT4Z/i/vdQKRvB3JdwAO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XzJ6xQAAANoAAAAPAAAAAAAAAAAAAAAAAJgCAABkcnMv&#10;ZG93bnJldi54bWxQSwUGAAAAAAQABAD1AAAAigMAAAAA&#10;" fillcolor="#31849b [2408]">
              <v:textbox>
                <w:txbxContent>
                  <w:p w:rsidR="003863F9" w:rsidRPr="008C12B1" w:rsidRDefault="003863F9" w:rsidP="001F5EED">
                    <w:pPr>
                      <w:spacing w:line="240" w:lineRule="auto"/>
                      <w:jc w:val="center"/>
                      <w:rPr>
                        <w:rFonts w:cs="Arial"/>
                        <w:b/>
                        <w:szCs w:val="24"/>
                      </w:rPr>
                    </w:pPr>
                    <w:r>
                      <w:rPr>
                        <w:rFonts w:cs="Arial"/>
                        <w:b/>
                        <w:szCs w:val="24"/>
                      </w:rPr>
                      <w:t>Outcomes for OBC</w:t>
                    </w:r>
                  </w:p>
                </w:txbxContent>
              </v:textbox>
            </v:rect>
            <v:rect id="Rectangle 439" o:spid="_x0000_s1544" style="position:absolute;left:2340;top:2160;width:2518;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CmCMMA&#10;AADaAAAADwAAAGRycy9kb3ducmV2LnhtbERPz2vCMBS+C/4P4QneZrqNja02FR0TPGyyqVC8PZq3&#10;tti8hCZq9a83h4HHj+93NutNK07U+caygsdJAoK4tLrhSsFuu3x4A+EDssbWMim4kIdZPhxkmGp7&#10;5l86bUIlYgj7FBXUIbhUSl/WZNBPrCOO3J/tDIYIu0rqDs8x3LTyKUlepcGGY0ONjj5qKg+bo1Hw&#10;WRTcf68Xl5/dtni+Ni9u8fW+V2o86udTEIH6cBf/u1daQdwar8Qb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MCmCMMAAADaAAAADwAAAAAAAAAAAAAAAACYAgAAZHJzL2Rv&#10;d25yZXYueG1sUEsFBgAAAAAEAAQA9QAAAIgDAAAAAA==&#10;" fillcolor="#31849b [2408]">
              <v:textbox>
                <w:txbxContent>
                  <w:p w:rsidR="003863F9" w:rsidRPr="008C12B1" w:rsidRDefault="003863F9" w:rsidP="001F5EED">
                    <w:pPr>
                      <w:spacing w:line="240" w:lineRule="auto"/>
                      <w:jc w:val="center"/>
                      <w:rPr>
                        <w:rFonts w:cs="Arial"/>
                        <w:b/>
                        <w:szCs w:val="24"/>
                      </w:rPr>
                    </w:pPr>
                    <w:r w:rsidRPr="008C12B1">
                      <w:rPr>
                        <w:rFonts w:cs="Arial"/>
                        <w:b/>
                        <w:szCs w:val="24"/>
                      </w:rPr>
                      <w:t>Key Steps</w:t>
                    </w:r>
                  </w:p>
                </w:txbxContent>
              </v:textbox>
            </v:rect>
            <v:rect id="Rectangle 440" o:spid="_x0000_s1545" style="position:absolute;left:2340;top:4140;width:2518;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Z+cQA&#10;AADaAAAADwAAAGRycy9kb3ducmV2LnhtbESPQWvCQBSE74X+h+UVvEjd2IPY1FVCUarYg0l66e2R&#10;fc2GZt+G7Brjv3eFQo/DzHzDrDajbcVAvW8cK5jPEhDEldMN1wq+yt3zEoQPyBpbx6TgSh4268eH&#10;FabaXTinoQi1iBD2KSowIXSplL4yZNHPXEccvR/XWwxR9rXUPV4i3LbyJUkW0mLDccFgR++Gqt/i&#10;bBV8u0+3zRL66Ex5CMM0y4+nIldq8jRmbyACjeE//NfeawWvcL8Sb4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o2fnEAAAA2gAAAA8AAAAAAAAAAAAAAAAAmAIAAGRycy9k&#10;b3ducmV2LnhtbFBLBQYAAAAABAAEAPUAAACJAwAAAAA=&#10;">
              <v:textbox>
                <w:txbxContent>
                  <w:p w:rsidR="003863F9" w:rsidRPr="007D25B4" w:rsidRDefault="003863F9" w:rsidP="001F5EED">
                    <w:pPr>
                      <w:spacing w:line="240" w:lineRule="auto"/>
                      <w:jc w:val="left"/>
                      <w:rPr>
                        <w:rFonts w:cs="Arial"/>
                        <w:sz w:val="22"/>
                        <w:szCs w:val="22"/>
                      </w:rPr>
                    </w:pPr>
                    <w:r w:rsidRPr="007D25B4">
                      <w:rPr>
                        <w:rFonts w:cs="Arial"/>
                        <w:sz w:val="22"/>
                        <w:szCs w:val="22"/>
                      </w:rPr>
                      <w:t>Review capital &amp; revenue financed impact</w:t>
                    </w:r>
                  </w:p>
                </w:txbxContent>
              </v:textbox>
            </v:rect>
            <v:rect id="Rectangle 441" o:spid="_x0000_s1546" style="position:absolute;left:5040;top:4140;width:432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LB2MUA&#10;AADbAAAADwAAAGRycy9kb3ducmV2LnhtbESPQWvDMAyF74P9B6NBL6N12sMYad0SSks3tsOS9rKb&#10;iLU4NJZD7KXZv58Og90k3tN7nza7yXdqpCG2gQ0sFxko4jrYlhsDl/Nx/gwqJmSLXWAy8EMRdtv7&#10;uw3mNty4pLFKjZIQjjkacCn1udaxduQxLkJPLNpXGDwmWYdG2wFvEu47vcqyJ+2xZWlw2NPeUX2t&#10;vr2Bz/AeDkVGp96dX9P4WJRvH1VpzOxhKtagEk3p3/x3/WIFX+jlFxlAb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ksHYxQAAANsAAAAPAAAAAAAAAAAAAAAAAJgCAABkcnMv&#10;ZG93bnJldi54bWxQSwUGAAAAAAQABAD1AAAAigMAAAAA&#10;">
              <v:textbox>
                <w:txbxContent>
                  <w:p w:rsidR="003863F9" w:rsidRPr="007D25B4" w:rsidRDefault="003863F9" w:rsidP="001F5EED">
                    <w:pPr>
                      <w:spacing w:line="240" w:lineRule="auto"/>
                      <w:jc w:val="left"/>
                      <w:rPr>
                        <w:sz w:val="20"/>
                      </w:rPr>
                    </w:pPr>
                    <w:r w:rsidRPr="007D25B4">
                      <w:rPr>
                        <w:sz w:val="20"/>
                      </w:rPr>
                      <w:t>Completed cost template &amp; supporting information for capital or revenue financed project.</w:t>
                    </w:r>
                  </w:p>
                </w:txbxContent>
              </v:textbox>
            </v:rect>
            <v:rect id="Rectangle 442" o:spid="_x0000_s1547" style="position:absolute;left:2340;top:5400;width:2518;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5kQ8IA&#10;AADbAAAADwAAAGRycy9kb3ducmV2LnhtbERPTWvCQBC9C/6HZYReRDd6EImuEopSix5M9NLbkJ1m&#10;Q7OzIbuN6b/vCoXe5vE+Z7sfbCN66nztWMFinoAgLp2uuVJwvx1naxA+IGtsHJOCH/Kw341HW0y1&#10;e3BOfREqEUPYp6jAhNCmUvrSkEU/dy1x5D5dZzFE2FVSd/iI4baRyyRZSYs1xwaDLb0aKr+Kb6vg&#10;w13cIUvorTW399BPs/x8LXKlXiZDtgERaAj/4j/3Scf5C3j+E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3mRDwgAAANsAAAAPAAAAAAAAAAAAAAAAAJgCAABkcnMvZG93&#10;bnJldi54bWxQSwUGAAAAAAQABAD1AAAAhwMAAAAA&#10;">
              <v:textbox>
                <w:txbxContent>
                  <w:p w:rsidR="003863F9" w:rsidRPr="007D25B4" w:rsidRDefault="003863F9" w:rsidP="001F5EED">
                    <w:pPr>
                      <w:spacing w:line="240" w:lineRule="auto"/>
                      <w:jc w:val="left"/>
                      <w:rPr>
                        <w:rFonts w:cs="Arial"/>
                        <w:sz w:val="22"/>
                        <w:szCs w:val="22"/>
                      </w:rPr>
                    </w:pPr>
                    <w:r w:rsidRPr="007D25B4">
                      <w:rPr>
                        <w:rFonts w:cs="Arial"/>
                        <w:sz w:val="22"/>
                        <w:szCs w:val="22"/>
                      </w:rPr>
                      <w:t>Assess affordability</w:t>
                    </w:r>
                  </w:p>
                </w:txbxContent>
              </v:textbox>
            </v:rect>
            <v:rect id="Rectangle 443" o:spid="_x0000_s1548" style="position:absolute;left:5040;top:5400;width:432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z6NMIA&#10;AADbAAAADwAAAGRycy9kb3ducmV2LnhtbERPTWvCQBC9F/wPywheitnUQynRjYSiVGkPTfTS25Cd&#10;ZkOzsyG7xvTfdwuCt3m8z9lsJ9uJkQbfOlbwlKQgiGunW24UnE/75QsIH5A1do5JwS952Oazhw1m&#10;2l25pLEKjYgh7DNUYELoMyl9bciiT1xPHLlvN1gMEQ6N1ANeY7jt5CpNn6XFlmODwZ5eDdU/1cUq&#10;+HIfblek9Nab0zGMj0X5/lmVSi3mU7EGEWgKd/HNfdBx/gr+f4kHy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DPo0wgAAANsAAAAPAAAAAAAAAAAAAAAAAJgCAABkcnMvZG93&#10;bnJldi54bWxQSwUGAAAAAAQABAD1AAAAhwMAAAAA&#10;">
              <v:textbox>
                <w:txbxContent>
                  <w:p w:rsidR="003863F9" w:rsidRPr="007D25B4" w:rsidRDefault="003863F9" w:rsidP="001F5EED">
                    <w:pPr>
                      <w:spacing w:line="240" w:lineRule="auto"/>
                      <w:jc w:val="left"/>
                      <w:rPr>
                        <w:sz w:val="20"/>
                      </w:rPr>
                    </w:pPr>
                    <w:proofErr w:type="gramStart"/>
                    <w:r w:rsidRPr="007D25B4">
                      <w:rPr>
                        <w:sz w:val="20"/>
                      </w:rPr>
                      <w:t>Statement of affordability and explanation of any funding gaps.</w:t>
                    </w:r>
                    <w:proofErr w:type="gramEnd"/>
                  </w:p>
                </w:txbxContent>
              </v:textbox>
            </v:rect>
            <v:rect id="Rectangle 444" o:spid="_x0000_s1549" style="position:absolute;left:2340;top:6660;width:2518;height:1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Bfr8IA&#10;AADbAAAADwAAAGRycy9kb3ducmV2LnhtbERPTWvCQBC9F/oflil4kbqxgpTUVUJRqtiDSXrpbchO&#10;s6HZ2ZBdY/z3rlDobR7vc1ab0bZioN43jhXMZwkI4srphmsFX+Xu+RWED8gaW8ek4EoeNuvHhxWm&#10;2l04p6EItYgh7FNUYELoUil9Zciin7mOOHI/rrcYIuxrqXu8xHDbypckWUqLDccGgx29G6p+i7NV&#10;8O0+3TZL6KMz5SEM0yw/nopcqcnTmL2BCDSGf/Gfe6/j/AXcf4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F+vwgAAANsAAAAPAAAAAAAAAAAAAAAAAJgCAABkcnMvZG93&#10;bnJldi54bWxQSwUGAAAAAAQABAD1AAAAhwMAAAAA&#10;">
              <v:textbox>
                <w:txbxContent>
                  <w:p w:rsidR="003863F9" w:rsidRPr="007D25B4" w:rsidRDefault="003863F9" w:rsidP="001F5EED">
                    <w:pPr>
                      <w:spacing w:line="240" w:lineRule="auto"/>
                      <w:jc w:val="left"/>
                      <w:rPr>
                        <w:rFonts w:cs="Arial"/>
                        <w:sz w:val="22"/>
                        <w:szCs w:val="22"/>
                      </w:rPr>
                    </w:pPr>
                    <w:r w:rsidRPr="007D25B4">
                      <w:rPr>
                        <w:rFonts w:cs="Arial"/>
                        <w:sz w:val="22"/>
                        <w:szCs w:val="22"/>
                      </w:rPr>
                      <w:t>Confirm stakeholder support</w:t>
                    </w:r>
                  </w:p>
                </w:txbxContent>
              </v:textbox>
            </v:rect>
            <v:rect id="Rectangle 445" o:spid="_x0000_s1550" style="position:absolute;left:1440;top:5400;width:72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mrCMEA&#10;AADbAAAADwAAAGRycy9kb3ducmV2LnhtbERPS4vCMBC+C/sfwgh701RZXalGWUShBylYXc9DM31g&#10;MylN1O6/3wiCt/n4nrPa9KYRd+pcbVnBZByBIM6trrlUcD7tRwsQziNrbCyTgj9ysFl/DFYYa/vg&#10;I90zX4oQwi5GBZX3bSylyysy6Ma2JQ5cYTuDPsCulLrDRwg3jZxG0VwarDk0VNjStqL8mt2MguS3&#10;2RfH821xKQ5pWm/TazL73in1Oex/liA89f4tfrkTHeZ/wfOXcI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ZqwjBAAAA2wAAAA8AAAAAAAAAAAAAAAAAmAIAAGRycy9kb3du&#10;cmV2LnhtbFBLBQYAAAAABAAEAPUAAACGAwAAAAA=&#10;" fillcolor="#bfbfbf [2412]">
              <v:textbox>
                <w:txbxContent>
                  <w:p w:rsidR="003863F9" w:rsidRPr="00160BC0" w:rsidRDefault="003863F9" w:rsidP="001F5EED">
                    <w:pPr>
                      <w:spacing w:line="240" w:lineRule="auto"/>
                      <w:jc w:val="center"/>
                      <w:rPr>
                        <w:rFonts w:cs="Arial"/>
                        <w:b/>
                      </w:rPr>
                    </w:pPr>
                    <w:r>
                      <w:rPr>
                        <w:rFonts w:cs="Arial"/>
                        <w:b/>
                      </w:rPr>
                      <w:t>3.</w:t>
                    </w:r>
                  </w:p>
                </w:txbxContent>
              </v:textbox>
            </v:rect>
            <v:rect id="Rectangle 446" o:spid="_x0000_s1551" style="position:absolute;left:5040;top:6660;width:4320;height:1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iQMIA&#10;AADbAAAADwAAAGRycy9kb3ducmV2LnhtbERPTWvCQBC9F/oflil4kbqxoJTUVUJRqtiDSXrpbchO&#10;s6HZ2ZBdY/z3rlDobR7vc1ab0bZioN43jhXMZwkI4srphmsFX+Xu+RWED8gaW8ek4EoeNuvHhxWm&#10;2l04p6EItYgh7FNUYELoUil9Zciin7mOOHI/rrcYIuxrqXu8xHDbypckWUqLDccGgx29G6p+i7NV&#10;8O0+3TZL6KMz5SEM0yw/nopcqcnTmL2BCDSGf/Gfe6/j/AXcf4kHyP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5WJAwgAAANsAAAAPAAAAAAAAAAAAAAAAAJgCAABkcnMvZG93&#10;bnJldi54bWxQSwUGAAAAAAQABAD1AAAAhwMAAAAA&#10;">
              <v:textbox>
                <w:txbxContent>
                  <w:p w:rsidR="003863F9" w:rsidRPr="007D25B4" w:rsidRDefault="003863F9" w:rsidP="001F5EED">
                    <w:pPr>
                      <w:spacing w:line="240" w:lineRule="auto"/>
                      <w:jc w:val="left"/>
                      <w:rPr>
                        <w:sz w:val="20"/>
                      </w:rPr>
                    </w:pPr>
                    <w:proofErr w:type="gramStart"/>
                    <w:r w:rsidRPr="007D25B4">
                      <w:rPr>
                        <w:sz w:val="20"/>
                      </w:rPr>
                      <w:t>Duly signed letter(s) of stakeholder support.</w:t>
                    </w:r>
                    <w:proofErr w:type="gramEnd"/>
                  </w:p>
                </w:txbxContent>
              </v:textbox>
            </v:rect>
            <v:rect id="Rectangle 447" o:spid="_x0000_s1552" style="position:absolute;left:1440;top:6660;width:720;height:12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0eQ5MIA&#10;AADbAAAADwAAAGRycy9kb3ducmV2LnhtbERPS2vCQBC+F/oflhF6qxsLjRJdRUIDOZRA1PY8ZCcP&#10;zM6G7Krpv+8Kgrf5+J6z2U2mF1caXWdZwWIegSCurO64UXA6Zu8rEM4ja+wtk4I/crDbvr5sMNH2&#10;xiVdD74RIYRdggpa74dESle1ZNDN7UAcuNqOBn2AYyP1iLcQbnr5EUWxNNhxaGhxoLSl6ny4GAX5&#10;T5/V5emy+q2/i6JLi3P+ufxS6m027dcgPE3+KX64cx3mx3D/JRwg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R5DkwgAAANsAAAAPAAAAAAAAAAAAAAAAAJgCAABkcnMvZG93&#10;bnJldi54bWxQSwUGAAAAAAQABAD1AAAAhwMAAAAA&#10;" fillcolor="#bfbfbf [2412]">
              <v:textbox>
                <w:txbxContent>
                  <w:p w:rsidR="003863F9" w:rsidRPr="00160BC0" w:rsidRDefault="003863F9" w:rsidP="001F5EED">
                    <w:pPr>
                      <w:spacing w:line="240" w:lineRule="auto"/>
                      <w:jc w:val="center"/>
                      <w:rPr>
                        <w:rFonts w:cs="Arial"/>
                        <w:b/>
                      </w:rPr>
                    </w:pPr>
                    <w:r>
                      <w:rPr>
                        <w:rFonts w:cs="Arial"/>
                        <w:b/>
                      </w:rPr>
                      <w:t>4.</w:t>
                    </w:r>
                  </w:p>
                </w:txbxContent>
              </v:textbox>
            </v:rect>
            <w10:wrap type="topAndBottom"/>
          </v:group>
        </w:pict>
      </w:r>
      <w:r w:rsidR="001F5EED">
        <w:t xml:space="preserve">The </w:t>
      </w:r>
      <w:r w:rsidR="001F5EED" w:rsidRPr="00D0670F">
        <w:t>impact of the proposed</w:t>
      </w:r>
      <w:r w:rsidR="001F5EED">
        <w:t xml:space="preserve"> project</w:t>
      </w:r>
      <w:r w:rsidR="001F5EED" w:rsidRPr="00D0670F">
        <w:t xml:space="preserve"> </w:t>
      </w:r>
      <w:r w:rsidR="001F5EED" w:rsidRPr="000A68D6">
        <w:t>on the Board’s accounts</w:t>
      </w:r>
      <w:r w:rsidR="001F5EED">
        <w:t>, primarily the Statement of Comprehensive Net Expenditure (SOCNE), cash flow and Balance Sheet.</w:t>
      </w:r>
    </w:p>
    <w:p w:rsidR="001F5EED" w:rsidRPr="000A68D6" w:rsidRDefault="001F5EED" w:rsidP="001F5EED">
      <w:pPr>
        <w:pStyle w:val="StandardParagraph"/>
        <w:rPr>
          <w:color w:val="000000" w:themeColor="text1"/>
        </w:rPr>
      </w:pPr>
      <w:r w:rsidRPr="000A68D6">
        <w:rPr>
          <w:color w:val="000000" w:themeColor="text1"/>
        </w:rPr>
        <w:t>These can be achieved by taking the following steps:</w:t>
      </w:r>
      <w:r w:rsidRPr="000A68D6">
        <w:rPr>
          <w:color w:val="000000" w:themeColor="text1"/>
        </w:rPr>
        <w:br w:type="page"/>
      </w:r>
    </w:p>
    <w:p w:rsidR="001F5EED" w:rsidRPr="000C4128" w:rsidRDefault="001F5EED" w:rsidP="001F5EED">
      <w:pPr>
        <w:pStyle w:val="Heading2"/>
        <w:jc w:val="left"/>
      </w:pPr>
      <w:r w:rsidRPr="000C4128">
        <w:lastRenderedPageBreak/>
        <w:t>Focus of the financial case</w:t>
      </w:r>
    </w:p>
    <w:p w:rsidR="001F5EED" w:rsidRDefault="001F5EED" w:rsidP="001F5EED">
      <w:pPr>
        <w:pStyle w:val="StandardParagraph"/>
      </w:pPr>
      <w:r>
        <w:t>Many practitioners confuse the F</w:t>
      </w:r>
      <w:r w:rsidRPr="00D0670F">
        <w:t xml:space="preserve">inancial </w:t>
      </w:r>
      <w:r>
        <w:t>Case with the E</w:t>
      </w:r>
      <w:r w:rsidRPr="00D0670F">
        <w:t xml:space="preserve">conomic </w:t>
      </w:r>
      <w:r>
        <w:t>Case. The E</w:t>
      </w:r>
      <w:r w:rsidRPr="00D0670F">
        <w:t xml:space="preserve">conomic </w:t>
      </w:r>
      <w:r>
        <w:t>C</w:t>
      </w:r>
      <w:r w:rsidRPr="00D0670F">
        <w:t xml:space="preserve">ase focuses </w:t>
      </w:r>
      <w:r>
        <w:t xml:space="preserve">mainly on value for money in the identification of a preferred option, </w:t>
      </w:r>
      <w:r w:rsidRPr="00D0670F">
        <w:t xml:space="preserve">taking into account costs and </w:t>
      </w:r>
      <w:r>
        <w:t>quantifiable / non-quantifiable benefits.  In contrast, the Financial C</w:t>
      </w:r>
      <w:r w:rsidRPr="00D0670F">
        <w:t>ase focuses on</w:t>
      </w:r>
      <w:r>
        <w:t xml:space="preserve"> </w:t>
      </w:r>
      <w:r w:rsidRPr="00D0670F">
        <w:t xml:space="preserve">‘affordability’, with </w:t>
      </w:r>
      <w:r>
        <w:t xml:space="preserve">a </w:t>
      </w:r>
      <w:r w:rsidRPr="00D0670F">
        <w:t xml:space="preserve">particular emphasis on the preferred option. </w:t>
      </w:r>
    </w:p>
    <w:p w:rsidR="001F5EED" w:rsidRDefault="001F5EED" w:rsidP="001F5EED">
      <w:pPr>
        <w:pStyle w:val="StandardParagraph"/>
      </w:pPr>
      <w:r w:rsidRPr="00D0670F">
        <w:t xml:space="preserve">The </w:t>
      </w:r>
      <w:r>
        <w:t>Financial C</w:t>
      </w:r>
      <w:r w:rsidRPr="00D0670F">
        <w:t xml:space="preserve">ase </w:t>
      </w:r>
      <w:r>
        <w:t>must reflect an estima</w:t>
      </w:r>
      <w:r w:rsidR="001B021C">
        <w:t>te of total expenditure for the preferred</w:t>
      </w:r>
      <w:r>
        <w:t xml:space="preserve"> option, including the impact of all government related taxes and non-cash costs e.g. VAT &amp; depreciation, which are normally excluded from the </w:t>
      </w:r>
      <w:r w:rsidR="001B021C">
        <w:t>economic appraisal</w:t>
      </w:r>
      <w:r>
        <w:t>.</w:t>
      </w:r>
    </w:p>
    <w:p w:rsidR="001F5EED" w:rsidRDefault="001F5EED" w:rsidP="001F5EED">
      <w:pPr>
        <w:pStyle w:val="StandardParagraph"/>
      </w:pPr>
      <w:r w:rsidRPr="00D0670F">
        <w:t xml:space="preserve">The key differences between </w:t>
      </w:r>
      <w:r>
        <w:t xml:space="preserve">an </w:t>
      </w:r>
      <w:r w:rsidRPr="00D0670F">
        <w:t xml:space="preserve">economic and </w:t>
      </w:r>
      <w:r>
        <w:t xml:space="preserve">a </w:t>
      </w:r>
      <w:r w:rsidRPr="00D0670F">
        <w:t>financial appraisal can be summarised as follows:</w:t>
      </w:r>
    </w:p>
    <w:tbl>
      <w:tblPr>
        <w:tblW w:w="9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shd w:val="clear" w:color="auto" w:fill="E6E6E6"/>
        <w:tblLook w:val="01E0"/>
      </w:tblPr>
      <w:tblGrid>
        <w:gridCol w:w="4428"/>
        <w:gridCol w:w="4680"/>
      </w:tblGrid>
      <w:tr w:rsidR="001F5EED" w:rsidRPr="00D0670F" w:rsidTr="001F5EED">
        <w:tc>
          <w:tcPr>
            <w:tcW w:w="4428" w:type="dxa"/>
            <w:tcBorders>
              <w:top w:val="single" w:sz="12" w:space="0" w:color="000000"/>
              <w:bottom w:val="single" w:sz="6" w:space="0" w:color="000000"/>
            </w:tcBorders>
            <w:shd w:val="clear" w:color="auto" w:fill="31849B" w:themeFill="accent5" w:themeFillShade="BF"/>
          </w:tcPr>
          <w:p w:rsidR="001F5EED" w:rsidRPr="000C4128" w:rsidRDefault="001F5EED" w:rsidP="001F5EED">
            <w:pPr>
              <w:pStyle w:val="Standardparatable"/>
              <w:jc w:val="center"/>
              <w:rPr>
                <w:b/>
              </w:rPr>
            </w:pPr>
            <w:r w:rsidRPr="000C4128">
              <w:rPr>
                <w:b/>
              </w:rPr>
              <w:t>Economic Appraisal</w:t>
            </w:r>
          </w:p>
        </w:tc>
        <w:tc>
          <w:tcPr>
            <w:tcW w:w="4680" w:type="dxa"/>
            <w:tcBorders>
              <w:top w:val="single" w:sz="12" w:space="0" w:color="000000"/>
              <w:bottom w:val="single" w:sz="6" w:space="0" w:color="000000"/>
            </w:tcBorders>
            <w:shd w:val="clear" w:color="auto" w:fill="31849B" w:themeFill="accent5" w:themeFillShade="BF"/>
          </w:tcPr>
          <w:p w:rsidR="001F5EED" w:rsidRPr="000C4128" w:rsidRDefault="001F5EED" w:rsidP="001F5EED">
            <w:pPr>
              <w:pStyle w:val="Standardparatable"/>
              <w:jc w:val="center"/>
              <w:rPr>
                <w:b/>
              </w:rPr>
            </w:pPr>
            <w:r w:rsidRPr="000C4128">
              <w:rPr>
                <w:b/>
              </w:rPr>
              <w:t>Financial Appraisal</w:t>
            </w:r>
          </w:p>
        </w:tc>
      </w:tr>
      <w:tr w:rsidR="001F5EED" w:rsidRPr="00D0670F" w:rsidTr="001F5EED">
        <w:tc>
          <w:tcPr>
            <w:tcW w:w="4428" w:type="dxa"/>
            <w:tcBorders>
              <w:top w:val="single" w:sz="6" w:space="0" w:color="000000"/>
              <w:bottom w:val="single" w:sz="6" w:space="0" w:color="000000"/>
            </w:tcBorders>
            <w:shd w:val="clear" w:color="auto" w:fill="auto"/>
          </w:tcPr>
          <w:p w:rsidR="001F5EED" w:rsidRPr="009B002D" w:rsidRDefault="001F5EED" w:rsidP="001F5EED">
            <w:pPr>
              <w:pStyle w:val="Standardparatable"/>
              <w:spacing w:line="240" w:lineRule="auto"/>
              <w:rPr>
                <w:sz w:val="20"/>
                <w:szCs w:val="20"/>
              </w:rPr>
            </w:pPr>
            <w:r w:rsidRPr="009B002D">
              <w:rPr>
                <w:b/>
                <w:sz w:val="20"/>
                <w:szCs w:val="20"/>
              </w:rPr>
              <w:t>Focus:</w:t>
            </w:r>
            <w:r w:rsidRPr="009B002D">
              <w:rPr>
                <w:sz w:val="20"/>
                <w:szCs w:val="20"/>
              </w:rPr>
              <w:t xml:space="preserve"> </w:t>
            </w:r>
          </w:p>
          <w:p w:rsidR="001F5EED" w:rsidRPr="009B002D" w:rsidRDefault="001F5EED" w:rsidP="001F5EED">
            <w:pPr>
              <w:pStyle w:val="Standardparatable"/>
              <w:spacing w:line="240" w:lineRule="auto"/>
              <w:rPr>
                <w:sz w:val="20"/>
                <w:szCs w:val="20"/>
              </w:rPr>
            </w:pPr>
            <w:r w:rsidRPr="009B002D">
              <w:rPr>
                <w:sz w:val="20"/>
                <w:szCs w:val="20"/>
              </w:rPr>
              <w:t>VFM – net present value/cost (NPV/NPC).</w:t>
            </w:r>
          </w:p>
        </w:tc>
        <w:tc>
          <w:tcPr>
            <w:tcW w:w="4680" w:type="dxa"/>
            <w:tcBorders>
              <w:top w:val="single" w:sz="6" w:space="0" w:color="000000"/>
              <w:bottom w:val="single" w:sz="6" w:space="0" w:color="000000"/>
            </w:tcBorders>
            <w:shd w:val="clear" w:color="auto" w:fill="auto"/>
          </w:tcPr>
          <w:p w:rsidR="001F5EED" w:rsidRPr="009B002D" w:rsidRDefault="001F5EED" w:rsidP="001F5EED">
            <w:pPr>
              <w:pStyle w:val="Standardparatable"/>
              <w:spacing w:line="240" w:lineRule="auto"/>
              <w:rPr>
                <w:b/>
                <w:sz w:val="20"/>
                <w:szCs w:val="20"/>
              </w:rPr>
            </w:pPr>
            <w:r w:rsidRPr="009B002D">
              <w:rPr>
                <w:b/>
                <w:sz w:val="20"/>
                <w:szCs w:val="20"/>
              </w:rPr>
              <w:t>Focus:</w:t>
            </w:r>
          </w:p>
          <w:p w:rsidR="001F5EED" w:rsidRPr="009B002D" w:rsidRDefault="001F5EED" w:rsidP="001F5EED">
            <w:pPr>
              <w:pStyle w:val="Standardparatable"/>
              <w:spacing w:line="240" w:lineRule="auto"/>
              <w:rPr>
                <w:sz w:val="20"/>
                <w:szCs w:val="20"/>
              </w:rPr>
            </w:pPr>
            <w:r w:rsidRPr="009B002D">
              <w:rPr>
                <w:sz w:val="20"/>
                <w:szCs w:val="20"/>
              </w:rPr>
              <w:t>Affordability – impact on statutory financial targets i.e</w:t>
            </w:r>
            <w:r>
              <w:rPr>
                <w:sz w:val="20"/>
                <w:szCs w:val="20"/>
              </w:rPr>
              <w:t>.</w:t>
            </w:r>
            <w:r w:rsidRPr="009B002D">
              <w:rPr>
                <w:sz w:val="20"/>
                <w:szCs w:val="20"/>
              </w:rPr>
              <w:t xml:space="preserve"> Revenue Resource Limit</w:t>
            </w:r>
            <w:r>
              <w:rPr>
                <w:sz w:val="20"/>
                <w:szCs w:val="20"/>
              </w:rPr>
              <w:t xml:space="preserve"> and</w:t>
            </w:r>
            <w:r w:rsidRPr="009B002D">
              <w:rPr>
                <w:sz w:val="20"/>
                <w:szCs w:val="20"/>
              </w:rPr>
              <w:t xml:space="preserve"> Capital Resource Limit.</w:t>
            </w:r>
          </w:p>
        </w:tc>
      </w:tr>
      <w:tr w:rsidR="001F5EED" w:rsidRPr="00D0670F" w:rsidTr="001F5EED">
        <w:tc>
          <w:tcPr>
            <w:tcW w:w="4428" w:type="dxa"/>
            <w:tcBorders>
              <w:top w:val="single" w:sz="6" w:space="0" w:color="000000"/>
              <w:bottom w:val="single" w:sz="6" w:space="0" w:color="000000"/>
            </w:tcBorders>
            <w:shd w:val="clear" w:color="auto" w:fill="auto"/>
          </w:tcPr>
          <w:p w:rsidR="001F5EED" w:rsidRPr="009B002D" w:rsidRDefault="001F5EED" w:rsidP="001F5EED">
            <w:pPr>
              <w:pStyle w:val="Standardparatable"/>
              <w:spacing w:line="240" w:lineRule="auto"/>
              <w:rPr>
                <w:b/>
                <w:sz w:val="20"/>
                <w:szCs w:val="20"/>
              </w:rPr>
            </w:pPr>
            <w:r w:rsidRPr="009B002D">
              <w:rPr>
                <w:b/>
                <w:sz w:val="20"/>
                <w:szCs w:val="20"/>
              </w:rPr>
              <w:t>Coverage:</w:t>
            </w:r>
          </w:p>
          <w:p w:rsidR="001F5EED" w:rsidRPr="009B002D" w:rsidRDefault="001F5EED" w:rsidP="001F5EED">
            <w:pPr>
              <w:pStyle w:val="Standardparatable"/>
              <w:spacing w:line="240" w:lineRule="auto"/>
              <w:rPr>
                <w:sz w:val="20"/>
                <w:szCs w:val="20"/>
              </w:rPr>
            </w:pPr>
            <w:r w:rsidRPr="009B002D">
              <w:rPr>
                <w:sz w:val="20"/>
                <w:szCs w:val="20"/>
              </w:rPr>
              <w:t>Wide coverage – Government and society (‘UK Ltd’).</w:t>
            </w:r>
          </w:p>
        </w:tc>
        <w:tc>
          <w:tcPr>
            <w:tcW w:w="4680" w:type="dxa"/>
            <w:tcBorders>
              <w:top w:val="single" w:sz="6" w:space="0" w:color="000000"/>
              <w:bottom w:val="single" w:sz="6" w:space="0" w:color="000000"/>
            </w:tcBorders>
            <w:shd w:val="clear" w:color="auto" w:fill="auto"/>
          </w:tcPr>
          <w:p w:rsidR="001F5EED" w:rsidRPr="009B002D" w:rsidRDefault="001F5EED" w:rsidP="001F5EED">
            <w:pPr>
              <w:pStyle w:val="Standardparatable"/>
              <w:spacing w:line="240" w:lineRule="auto"/>
              <w:rPr>
                <w:b/>
                <w:sz w:val="20"/>
                <w:szCs w:val="20"/>
              </w:rPr>
            </w:pPr>
            <w:r w:rsidRPr="009B002D">
              <w:rPr>
                <w:b/>
                <w:sz w:val="20"/>
                <w:szCs w:val="20"/>
              </w:rPr>
              <w:t>Coverage:</w:t>
            </w:r>
          </w:p>
          <w:p w:rsidR="001F5EED" w:rsidRPr="009B002D" w:rsidRDefault="001F5EED" w:rsidP="001F5EED">
            <w:pPr>
              <w:pStyle w:val="Standardparatable"/>
              <w:spacing w:line="240" w:lineRule="auto"/>
              <w:rPr>
                <w:sz w:val="20"/>
                <w:szCs w:val="20"/>
              </w:rPr>
            </w:pPr>
            <w:r w:rsidRPr="009B002D">
              <w:rPr>
                <w:sz w:val="20"/>
                <w:szCs w:val="20"/>
              </w:rPr>
              <w:t>Relevant organisation(s).</w:t>
            </w:r>
          </w:p>
        </w:tc>
      </w:tr>
      <w:tr w:rsidR="001F5EED" w:rsidRPr="00D0670F" w:rsidTr="001F5EED">
        <w:tc>
          <w:tcPr>
            <w:tcW w:w="4428" w:type="dxa"/>
            <w:tcBorders>
              <w:top w:val="single" w:sz="6" w:space="0" w:color="000000"/>
              <w:bottom w:val="single" w:sz="6" w:space="0" w:color="000000"/>
            </w:tcBorders>
            <w:shd w:val="clear" w:color="auto" w:fill="auto"/>
          </w:tcPr>
          <w:p w:rsidR="001F5EED" w:rsidRPr="009B002D" w:rsidRDefault="001F5EED" w:rsidP="001F5EED">
            <w:pPr>
              <w:pStyle w:val="Standardparatable"/>
              <w:spacing w:line="240" w:lineRule="auto"/>
              <w:rPr>
                <w:b/>
                <w:sz w:val="20"/>
                <w:szCs w:val="20"/>
              </w:rPr>
            </w:pPr>
            <w:r w:rsidRPr="009B002D">
              <w:rPr>
                <w:b/>
                <w:sz w:val="20"/>
                <w:szCs w:val="20"/>
              </w:rPr>
              <w:t>Relevant standards:</w:t>
            </w:r>
          </w:p>
          <w:p w:rsidR="001F5EED" w:rsidRPr="009B002D" w:rsidRDefault="001F5EED" w:rsidP="001F5EED">
            <w:pPr>
              <w:pStyle w:val="Standardparatable"/>
              <w:spacing w:line="240" w:lineRule="auto"/>
              <w:rPr>
                <w:sz w:val="20"/>
                <w:szCs w:val="20"/>
              </w:rPr>
            </w:pPr>
            <w:r w:rsidRPr="009B002D">
              <w:rPr>
                <w:sz w:val="20"/>
                <w:szCs w:val="20"/>
              </w:rPr>
              <w:t>HM Treasury Green Book rules.</w:t>
            </w:r>
          </w:p>
          <w:p w:rsidR="001F5EED" w:rsidRPr="009B002D" w:rsidRDefault="001F5EED" w:rsidP="001F5EED">
            <w:pPr>
              <w:pStyle w:val="Standardparatable"/>
              <w:spacing w:line="240" w:lineRule="auto"/>
              <w:rPr>
                <w:sz w:val="20"/>
                <w:szCs w:val="20"/>
              </w:rPr>
            </w:pPr>
            <w:r w:rsidRPr="009B002D">
              <w:rPr>
                <w:sz w:val="20"/>
                <w:szCs w:val="20"/>
              </w:rPr>
              <w:t>Discount rate applied.</w:t>
            </w:r>
          </w:p>
        </w:tc>
        <w:tc>
          <w:tcPr>
            <w:tcW w:w="4680" w:type="dxa"/>
            <w:tcBorders>
              <w:top w:val="single" w:sz="6" w:space="0" w:color="000000"/>
              <w:bottom w:val="single" w:sz="6" w:space="0" w:color="000000"/>
            </w:tcBorders>
            <w:shd w:val="clear" w:color="auto" w:fill="auto"/>
          </w:tcPr>
          <w:p w:rsidR="001F5EED" w:rsidRPr="009B002D" w:rsidRDefault="001F5EED" w:rsidP="001F5EED">
            <w:pPr>
              <w:pStyle w:val="Standardparatable"/>
              <w:spacing w:line="240" w:lineRule="auto"/>
              <w:rPr>
                <w:b/>
                <w:sz w:val="20"/>
                <w:szCs w:val="20"/>
              </w:rPr>
            </w:pPr>
            <w:r w:rsidRPr="009B002D">
              <w:rPr>
                <w:b/>
                <w:sz w:val="20"/>
                <w:szCs w:val="20"/>
              </w:rPr>
              <w:t>Relevant standards:</w:t>
            </w:r>
          </w:p>
          <w:p w:rsidR="001F5EED" w:rsidRPr="009B002D" w:rsidRDefault="001F5EED" w:rsidP="001F5EED">
            <w:pPr>
              <w:pStyle w:val="Standardparatable"/>
              <w:spacing w:line="240" w:lineRule="auto"/>
              <w:rPr>
                <w:sz w:val="20"/>
                <w:szCs w:val="20"/>
              </w:rPr>
            </w:pPr>
            <w:r w:rsidRPr="009B002D">
              <w:rPr>
                <w:sz w:val="20"/>
                <w:szCs w:val="20"/>
              </w:rPr>
              <w:t xml:space="preserve">Scottish Public Finance Manual (SPFM) and Government financial reporting manual (FREM) </w:t>
            </w:r>
          </w:p>
        </w:tc>
      </w:tr>
      <w:tr w:rsidR="001F5EED" w:rsidRPr="00D0670F" w:rsidTr="001F5EED">
        <w:tc>
          <w:tcPr>
            <w:tcW w:w="4428" w:type="dxa"/>
            <w:tcBorders>
              <w:top w:val="single" w:sz="6" w:space="0" w:color="000000"/>
              <w:bottom w:val="single" w:sz="12" w:space="0" w:color="000000"/>
            </w:tcBorders>
            <w:shd w:val="clear" w:color="auto" w:fill="auto"/>
          </w:tcPr>
          <w:p w:rsidR="001F5EED" w:rsidRPr="000C4128" w:rsidRDefault="001F5EED" w:rsidP="001F5EED">
            <w:pPr>
              <w:pStyle w:val="Standardparatable"/>
              <w:rPr>
                <w:b/>
              </w:rPr>
            </w:pPr>
            <w:r w:rsidRPr="000C4128">
              <w:rPr>
                <w:b/>
              </w:rPr>
              <w:t>Analysis:</w:t>
            </w:r>
          </w:p>
          <w:p w:rsidR="001F5EED" w:rsidRDefault="001F5EED" w:rsidP="001F5EED">
            <w:pPr>
              <w:pStyle w:val="TableBullet"/>
              <w:spacing w:line="240" w:lineRule="auto"/>
              <w:ind w:left="567" w:hanging="357"/>
            </w:pPr>
            <w:r>
              <w:t>Cash flow basis</w:t>
            </w:r>
          </w:p>
          <w:p w:rsidR="001F5EED" w:rsidRDefault="001F5EED" w:rsidP="001F5EED">
            <w:pPr>
              <w:pStyle w:val="TableBullet"/>
              <w:spacing w:line="240" w:lineRule="auto"/>
              <w:ind w:left="567" w:hanging="357"/>
            </w:pPr>
            <w:r>
              <w:t>Constant (real) prices (excludes inflation)</w:t>
            </w:r>
          </w:p>
          <w:p w:rsidR="001F5EED" w:rsidRDefault="001F5EED" w:rsidP="001F5EED">
            <w:pPr>
              <w:pStyle w:val="TableBullet"/>
              <w:spacing w:line="240" w:lineRule="auto"/>
              <w:ind w:left="567" w:hanging="357"/>
            </w:pPr>
            <w:r>
              <w:t>Includes opportunity cost</w:t>
            </w:r>
          </w:p>
          <w:p w:rsidR="001F5EED" w:rsidRDefault="001F5EED" w:rsidP="001F5EED">
            <w:pPr>
              <w:pStyle w:val="TableBullet"/>
              <w:spacing w:line="240" w:lineRule="auto"/>
              <w:ind w:left="567" w:hanging="357"/>
            </w:pPr>
            <w:r>
              <w:t>Includes indirect and attributable costs – costs of others</w:t>
            </w:r>
          </w:p>
          <w:p w:rsidR="001F5EED" w:rsidRDefault="001F5EED" w:rsidP="001F5EED">
            <w:pPr>
              <w:pStyle w:val="TableBullet"/>
              <w:spacing w:line="240" w:lineRule="auto"/>
              <w:ind w:left="567" w:hanging="357"/>
            </w:pPr>
            <w:r>
              <w:t>Includes all quantifiable and non quantifiable benefits and risks</w:t>
            </w:r>
          </w:p>
          <w:p w:rsidR="001F5EED" w:rsidRDefault="001F5EED" w:rsidP="001F5EED">
            <w:pPr>
              <w:pStyle w:val="TableBullet"/>
              <w:spacing w:line="240" w:lineRule="auto"/>
              <w:ind w:left="567" w:hanging="357"/>
            </w:pPr>
            <w:r>
              <w:t>Includes environmental costs</w:t>
            </w:r>
          </w:p>
          <w:p w:rsidR="001F5EED" w:rsidRDefault="001F5EED" w:rsidP="001F5EED">
            <w:pPr>
              <w:pStyle w:val="TableBullet"/>
              <w:spacing w:line="240" w:lineRule="auto"/>
              <w:ind w:left="567" w:hanging="357"/>
            </w:pPr>
            <w:r>
              <w:t>Excludes sunk costs</w:t>
            </w:r>
          </w:p>
          <w:p w:rsidR="001F5EED" w:rsidRPr="00734D23" w:rsidRDefault="001F5EED" w:rsidP="001F5EED">
            <w:pPr>
              <w:pStyle w:val="TableBullet"/>
              <w:spacing w:line="240" w:lineRule="auto"/>
              <w:ind w:left="567" w:hanging="357"/>
            </w:pPr>
            <w:r>
              <w:t>Excludes non-cash items e.g. depreciation and government taxes.</w:t>
            </w:r>
          </w:p>
        </w:tc>
        <w:tc>
          <w:tcPr>
            <w:tcW w:w="4680" w:type="dxa"/>
            <w:tcBorders>
              <w:top w:val="single" w:sz="6" w:space="0" w:color="000000"/>
              <w:bottom w:val="single" w:sz="12" w:space="0" w:color="000000"/>
            </w:tcBorders>
            <w:shd w:val="clear" w:color="auto" w:fill="auto"/>
          </w:tcPr>
          <w:p w:rsidR="001F5EED" w:rsidRPr="000C4128" w:rsidRDefault="001F5EED" w:rsidP="001F5EED">
            <w:pPr>
              <w:pStyle w:val="Standardparatable"/>
              <w:rPr>
                <w:b/>
              </w:rPr>
            </w:pPr>
            <w:r w:rsidRPr="000C4128">
              <w:rPr>
                <w:b/>
              </w:rPr>
              <w:t>Analysis:</w:t>
            </w:r>
          </w:p>
          <w:p w:rsidR="001F5EED" w:rsidRDefault="001F5EED" w:rsidP="001F5EED">
            <w:pPr>
              <w:pStyle w:val="TableBullet"/>
              <w:spacing w:line="240" w:lineRule="auto"/>
              <w:ind w:left="714" w:hanging="357"/>
            </w:pPr>
            <w:r>
              <w:t>Income and Expenditure basis</w:t>
            </w:r>
          </w:p>
          <w:p w:rsidR="001F5EED" w:rsidRDefault="001F5EED" w:rsidP="001F5EED">
            <w:pPr>
              <w:pStyle w:val="TableBullet"/>
              <w:spacing w:line="240" w:lineRule="auto"/>
              <w:ind w:left="714" w:hanging="357"/>
            </w:pPr>
            <w:r>
              <w:t>Current (nominal) prices (includes impact of inflation)</w:t>
            </w:r>
          </w:p>
          <w:p w:rsidR="001F5EED" w:rsidRPr="00734D23" w:rsidRDefault="001F5EED" w:rsidP="001F5EED">
            <w:pPr>
              <w:pStyle w:val="TableBullet"/>
              <w:spacing w:line="240" w:lineRule="auto"/>
              <w:ind w:left="714" w:hanging="357"/>
            </w:pPr>
            <w:r>
              <w:t>Gross costs including sunk costs and non cash items e.g. depreciation and government taxes e.g. VAT.</w:t>
            </w:r>
          </w:p>
        </w:tc>
      </w:tr>
    </w:tbl>
    <w:p w:rsidR="001F5EED" w:rsidRPr="00017D1D" w:rsidRDefault="001F5EED" w:rsidP="001F5EED">
      <w:pPr>
        <w:pStyle w:val="Heading1"/>
      </w:pPr>
      <w:r w:rsidRPr="00017D1D">
        <w:lastRenderedPageBreak/>
        <w:t>Preparing the Financial Model</w:t>
      </w:r>
    </w:p>
    <w:p w:rsidR="001F5EED" w:rsidRDefault="001F5EED" w:rsidP="001F5EED">
      <w:pPr>
        <w:pStyle w:val="StandardParagraph"/>
      </w:pPr>
      <w:r>
        <w:t xml:space="preserve">Full details are required of the Board’s financial model for the preferred </w:t>
      </w:r>
      <w:r w:rsidRPr="00EE3C35">
        <w:rPr>
          <w:color w:val="000000" w:themeColor="text1"/>
        </w:rPr>
        <w:t>option</w:t>
      </w:r>
      <w:r>
        <w:rPr>
          <w:color w:val="000000" w:themeColor="text1"/>
        </w:rPr>
        <w:t xml:space="preserve">, along with </w:t>
      </w:r>
      <w:r w:rsidRPr="00EE3C35">
        <w:rPr>
          <w:color w:val="000000" w:themeColor="text1"/>
        </w:rPr>
        <w:t>summary</w:t>
      </w:r>
      <w:r>
        <w:t xml:space="preserve"> information on differences in the other short-listed options. The goal should be to provide clear information and explanation of the key financial differences between each option. </w:t>
      </w:r>
    </w:p>
    <w:p w:rsidR="001F5EED" w:rsidRDefault="001F5EED" w:rsidP="001F5EED">
      <w:pPr>
        <w:pStyle w:val="StandardParagraph"/>
      </w:pPr>
      <w:r>
        <w:t>The approach used to develop a financial model will typically involve agreeing a series of key assumptions on factors which are influencing the project and quantifying the impact of these on the Statement of Consolidated Comprehensive Net Expenditure and the Balance Sheet, including any likely impact on cash flows.</w:t>
      </w:r>
    </w:p>
    <w:p w:rsidR="001F5EED" w:rsidRDefault="001F5EED" w:rsidP="001F5EED">
      <w:pPr>
        <w:pStyle w:val="StandardParagraph"/>
      </w:pPr>
      <w:r>
        <w:t>The following table provides an example of how the financial model can be appropriately summarised in the business case:</w:t>
      </w:r>
    </w:p>
    <w:tbl>
      <w:tblPr>
        <w:tblStyle w:val="TableGrid"/>
        <w:tblW w:w="928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686"/>
        <w:gridCol w:w="2504"/>
        <w:gridCol w:w="3096"/>
      </w:tblGrid>
      <w:tr w:rsidR="001F5EED" w:rsidTr="001F5EED">
        <w:tc>
          <w:tcPr>
            <w:tcW w:w="3686" w:type="dxa"/>
            <w:tcBorders>
              <w:top w:val="single" w:sz="12" w:space="0" w:color="auto"/>
              <w:bottom w:val="single" w:sz="6" w:space="0" w:color="auto"/>
            </w:tcBorders>
            <w:shd w:val="clear" w:color="auto" w:fill="31849B" w:themeFill="accent5" w:themeFillShade="BF"/>
            <w:vAlign w:val="center"/>
          </w:tcPr>
          <w:p w:rsidR="001F5EED" w:rsidRPr="00017D1D" w:rsidRDefault="001F5EED" w:rsidP="001F5EED">
            <w:pPr>
              <w:pStyle w:val="Standardparatable"/>
              <w:jc w:val="center"/>
              <w:rPr>
                <w:b/>
              </w:rPr>
            </w:pPr>
            <w:r w:rsidRPr="00017D1D">
              <w:rPr>
                <w:b/>
              </w:rPr>
              <w:t>Key Information / Assumption</w:t>
            </w:r>
          </w:p>
        </w:tc>
        <w:tc>
          <w:tcPr>
            <w:tcW w:w="2504" w:type="dxa"/>
            <w:tcBorders>
              <w:top w:val="single" w:sz="12" w:space="0" w:color="auto"/>
              <w:bottom w:val="single" w:sz="6" w:space="0" w:color="auto"/>
            </w:tcBorders>
            <w:shd w:val="clear" w:color="auto" w:fill="31849B" w:themeFill="accent5" w:themeFillShade="BF"/>
            <w:vAlign w:val="center"/>
          </w:tcPr>
          <w:p w:rsidR="001F5EED" w:rsidRPr="00017D1D" w:rsidRDefault="001F5EED" w:rsidP="001F5EED">
            <w:pPr>
              <w:pStyle w:val="Standardparatable"/>
              <w:jc w:val="center"/>
              <w:rPr>
                <w:b/>
              </w:rPr>
            </w:pPr>
            <w:r>
              <w:rPr>
                <w:b/>
              </w:rPr>
              <w:t xml:space="preserve">Associated </w:t>
            </w:r>
            <w:r w:rsidRPr="00017D1D">
              <w:rPr>
                <w:b/>
              </w:rPr>
              <w:t>Cost</w:t>
            </w:r>
            <w:r>
              <w:rPr>
                <w:b/>
              </w:rPr>
              <w:t>s</w:t>
            </w:r>
          </w:p>
        </w:tc>
        <w:tc>
          <w:tcPr>
            <w:tcW w:w="3096" w:type="dxa"/>
            <w:tcBorders>
              <w:top w:val="single" w:sz="12" w:space="0" w:color="auto"/>
              <w:bottom w:val="single" w:sz="6" w:space="0" w:color="auto"/>
            </w:tcBorders>
            <w:shd w:val="clear" w:color="auto" w:fill="31849B" w:themeFill="accent5" w:themeFillShade="BF"/>
            <w:vAlign w:val="center"/>
          </w:tcPr>
          <w:p w:rsidR="001F5EED" w:rsidRPr="00017D1D" w:rsidRDefault="001F5EED" w:rsidP="001F5EED">
            <w:pPr>
              <w:pStyle w:val="Standardparatable"/>
              <w:jc w:val="center"/>
              <w:rPr>
                <w:b/>
              </w:rPr>
            </w:pPr>
            <w:r w:rsidRPr="00017D1D">
              <w:rPr>
                <w:b/>
              </w:rPr>
              <w:t>Comments</w:t>
            </w:r>
          </w:p>
        </w:tc>
      </w:tr>
      <w:tr w:rsidR="001F5EED" w:rsidTr="001F5EED">
        <w:tc>
          <w:tcPr>
            <w:tcW w:w="3686" w:type="dxa"/>
            <w:tcBorders>
              <w:top w:val="single" w:sz="6" w:space="0" w:color="auto"/>
            </w:tcBorders>
          </w:tcPr>
          <w:p w:rsidR="001F5EED" w:rsidRDefault="001F5EED" w:rsidP="001F5EED">
            <w:pPr>
              <w:pStyle w:val="Standardparatable"/>
            </w:pPr>
            <w:r>
              <w:t>Impact on operating costs (</w:t>
            </w:r>
            <w:r w:rsidRPr="00F56BFB">
              <w:rPr>
                <w:sz w:val="20"/>
                <w:szCs w:val="20"/>
              </w:rPr>
              <w:t>differentiating between direct clinical costs associated with redesign and property running costs</w:t>
            </w:r>
            <w:r>
              <w:t>)</w:t>
            </w:r>
          </w:p>
        </w:tc>
        <w:tc>
          <w:tcPr>
            <w:tcW w:w="2504" w:type="dxa"/>
            <w:tcBorders>
              <w:top w:val="single" w:sz="6" w:space="0" w:color="auto"/>
            </w:tcBorders>
            <w:vAlign w:val="center"/>
          </w:tcPr>
          <w:p w:rsidR="001F5EED" w:rsidRDefault="001F5EED" w:rsidP="001F5EED">
            <w:pPr>
              <w:pStyle w:val="Standardparatable"/>
              <w:jc w:val="center"/>
            </w:pPr>
          </w:p>
        </w:tc>
        <w:tc>
          <w:tcPr>
            <w:tcW w:w="3096" w:type="dxa"/>
            <w:tcBorders>
              <w:top w:val="single" w:sz="6" w:space="0" w:color="auto"/>
            </w:tcBorders>
            <w:vAlign w:val="center"/>
          </w:tcPr>
          <w:p w:rsidR="001F5EED" w:rsidRDefault="001F5EED" w:rsidP="001F5EED">
            <w:pPr>
              <w:pStyle w:val="Standardparatable"/>
            </w:pPr>
          </w:p>
        </w:tc>
      </w:tr>
      <w:tr w:rsidR="001F5EED" w:rsidTr="001F5EED">
        <w:tc>
          <w:tcPr>
            <w:tcW w:w="3686" w:type="dxa"/>
          </w:tcPr>
          <w:p w:rsidR="001F5EED" w:rsidRDefault="001F5EED" w:rsidP="001F5EED">
            <w:pPr>
              <w:pStyle w:val="Standardparatable"/>
            </w:pPr>
            <w:r>
              <w:t>Depreciation</w:t>
            </w:r>
          </w:p>
        </w:tc>
        <w:tc>
          <w:tcPr>
            <w:tcW w:w="2504" w:type="dxa"/>
            <w:vAlign w:val="center"/>
          </w:tcPr>
          <w:p w:rsidR="001F5EED" w:rsidRDefault="001F5EED" w:rsidP="001F5EED">
            <w:pPr>
              <w:pStyle w:val="Standardparatable"/>
              <w:jc w:val="center"/>
            </w:pPr>
          </w:p>
        </w:tc>
        <w:tc>
          <w:tcPr>
            <w:tcW w:w="3096" w:type="dxa"/>
            <w:vAlign w:val="center"/>
          </w:tcPr>
          <w:p w:rsidR="001F5EED" w:rsidRDefault="001F5EED" w:rsidP="001F5EED">
            <w:pPr>
              <w:pStyle w:val="Standardparatable"/>
            </w:pPr>
          </w:p>
        </w:tc>
      </w:tr>
      <w:tr w:rsidR="001F5EED" w:rsidTr="001F5EED">
        <w:tc>
          <w:tcPr>
            <w:tcW w:w="3686" w:type="dxa"/>
          </w:tcPr>
          <w:p w:rsidR="001F5EED" w:rsidRDefault="001F5EED" w:rsidP="001F5EED">
            <w:pPr>
              <w:pStyle w:val="Standardparatable"/>
            </w:pPr>
            <w:r>
              <w:t>Property Lifecycle Costs</w:t>
            </w:r>
          </w:p>
        </w:tc>
        <w:tc>
          <w:tcPr>
            <w:tcW w:w="2504" w:type="dxa"/>
            <w:vAlign w:val="center"/>
          </w:tcPr>
          <w:p w:rsidR="001F5EED" w:rsidRDefault="001F5EED" w:rsidP="001F5EED">
            <w:pPr>
              <w:pStyle w:val="Standardparatable"/>
              <w:jc w:val="center"/>
            </w:pPr>
          </w:p>
        </w:tc>
        <w:tc>
          <w:tcPr>
            <w:tcW w:w="3096" w:type="dxa"/>
            <w:vAlign w:val="center"/>
          </w:tcPr>
          <w:p w:rsidR="001F5EED" w:rsidRDefault="001F5EED" w:rsidP="001F5EED">
            <w:pPr>
              <w:pStyle w:val="Standardparatable"/>
            </w:pPr>
          </w:p>
        </w:tc>
      </w:tr>
      <w:tr w:rsidR="001F5EED" w:rsidTr="001F5EED">
        <w:tc>
          <w:tcPr>
            <w:tcW w:w="3686" w:type="dxa"/>
          </w:tcPr>
          <w:p w:rsidR="001F5EED" w:rsidRDefault="001F5EED" w:rsidP="001F5EED">
            <w:pPr>
              <w:pStyle w:val="Standardparatable"/>
            </w:pPr>
            <w:r>
              <w:t>Inflation</w:t>
            </w:r>
          </w:p>
        </w:tc>
        <w:tc>
          <w:tcPr>
            <w:tcW w:w="2504" w:type="dxa"/>
            <w:vAlign w:val="center"/>
          </w:tcPr>
          <w:p w:rsidR="001F5EED" w:rsidRDefault="001F5EED" w:rsidP="001F5EED">
            <w:pPr>
              <w:pStyle w:val="Standardparatable"/>
              <w:jc w:val="center"/>
            </w:pPr>
          </w:p>
        </w:tc>
        <w:tc>
          <w:tcPr>
            <w:tcW w:w="3096" w:type="dxa"/>
            <w:vAlign w:val="center"/>
          </w:tcPr>
          <w:p w:rsidR="001F5EED" w:rsidRDefault="001F5EED" w:rsidP="001F5EED">
            <w:pPr>
              <w:pStyle w:val="Standardparatable"/>
            </w:pPr>
          </w:p>
        </w:tc>
      </w:tr>
      <w:tr w:rsidR="001F5EED" w:rsidTr="001F5EED">
        <w:tc>
          <w:tcPr>
            <w:tcW w:w="3686" w:type="dxa"/>
          </w:tcPr>
          <w:p w:rsidR="001F5EED" w:rsidRDefault="001F5EED" w:rsidP="001F5EED">
            <w:pPr>
              <w:pStyle w:val="Standardparatable"/>
            </w:pPr>
            <w:r>
              <w:t>Taxation</w:t>
            </w:r>
          </w:p>
        </w:tc>
        <w:tc>
          <w:tcPr>
            <w:tcW w:w="2504" w:type="dxa"/>
            <w:vAlign w:val="center"/>
          </w:tcPr>
          <w:p w:rsidR="001F5EED" w:rsidRDefault="001F5EED" w:rsidP="001F5EED">
            <w:pPr>
              <w:pStyle w:val="Standardparatable"/>
              <w:jc w:val="center"/>
            </w:pPr>
          </w:p>
        </w:tc>
        <w:tc>
          <w:tcPr>
            <w:tcW w:w="3096" w:type="dxa"/>
            <w:vAlign w:val="center"/>
          </w:tcPr>
          <w:p w:rsidR="001F5EED" w:rsidRDefault="001F5EED" w:rsidP="001F5EED">
            <w:pPr>
              <w:pStyle w:val="Standardparatable"/>
            </w:pPr>
          </w:p>
        </w:tc>
      </w:tr>
      <w:tr w:rsidR="001F5EED" w:rsidTr="001F5EED">
        <w:tc>
          <w:tcPr>
            <w:tcW w:w="3686" w:type="dxa"/>
          </w:tcPr>
          <w:p w:rsidR="001F5EED" w:rsidRDefault="001F5EED" w:rsidP="001F5EED">
            <w:pPr>
              <w:pStyle w:val="Standardparatable"/>
            </w:pPr>
            <w:r>
              <w:t>Proposed</w:t>
            </w:r>
            <w:r w:rsidRPr="00D0670F">
              <w:t xml:space="preserve"> </w:t>
            </w:r>
            <w:r>
              <w:t xml:space="preserve">method of </w:t>
            </w:r>
            <w:r w:rsidRPr="00D0670F">
              <w:t xml:space="preserve">capital </w:t>
            </w:r>
            <w:r>
              <w:t>financing and any associated charges</w:t>
            </w:r>
          </w:p>
        </w:tc>
        <w:tc>
          <w:tcPr>
            <w:tcW w:w="2504" w:type="dxa"/>
            <w:vAlign w:val="center"/>
          </w:tcPr>
          <w:p w:rsidR="001F5EED" w:rsidRDefault="001F5EED" w:rsidP="001F5EED">
            <w:pPr>
              <w:pStyle w:val="Standardparatable"/>
              <w:jc w:val="center"/>
            </w:pPr>
          </w:p>
        </w:tc>
        <w:tc>
          <w:tcPr>
            <w:tcW w:w="3096" w:type="dxa"/>
            <w:vAlign w:val="center"/>
          </w:tcPr>
          <w:p w:rsidR="001F5EED" w:rsidRDefault="001F5EED" w:rsidP="001F5EED">
            <w:pPr>
              <w:pStyle w:val="Standardparatable"/>
            </w:pPr>
          </w:p>
        </w:tc>
      </w:tr>
      <w:tr w:rsidR="001F5EED" w:rsidTr="001F5EED">
        <w:tc>
          <w:tcPr>
            <w:tcW w:w="3686" w:type="dxa"/>
          </w:tcPr>
          <w:p w:rsidR="001F5EED" w:rsidRDefault="001F5EED" w:rsidP="001F5EED">
            <w:pPr>
              <w:pStyle w:val="Standardparatable"/>
            </w:pPr>
            <w:r>
              <w:t>Proposed funding sources and potential for income generation (including any likely contribution from partners</w:t>
            </w:r>
            <w:r w:rsidRPr="00D0670F">
              <w:t>)</w:t>
            </w:r>
          </w:p>
        </w:tc>
        <w:tc>
          <w:tcPr>
            <w:tcW w:w="2504" w:type="dxa"/>
            <w:vAlign w:val="center"/>
          </w:tcPr>
          <w:p w:rsidR="001F5EED" w:rsidRDefault="001F5EED" w:rsidP="001F5EED">
            <w:pPr>
              <w:pStyle w:val="Standardparatable"/>
              <w:jc w:val="center"/>
            </w:pPr>
          </w:p>
        </w:tc>
        <w:tc>
          <w:tcPr>
            <w:tcW w:w="3096" w:type="dxa"/>
            <w:vAlign w:val="center"/>
          </w:tcPr>
          <w:p w:rsidR="001F5EED" w:rsidRDefault="001F5EED" w:rsidP="001F5EED">
            <w:pPr>
              <w:pStyle w:val="Standardparatable"/>
            </w:pPr>
          </w:p>
        </w:tc>
      </w:tr>
    </w:tbl>
    <w:p w:rsidR="001F5EED" w:rsidRDefault="001F5EED" w:rsidP="001F5EED"/>
    <w:p w:rsidR="001F5EED" w:rsidRDefault="001F5EED" w:rsidP="001F5EED">
      <w:pPr>
        <w:pStyle w:val="StandardParagraph"/>
      </w:pPr>
      <w:r>
        <w:t xml:space="preserve">The above information and costs will need to be accompanied with detailed narrative explaining how these costs have been calculated, any key assumptions </w:t>
      </w:r>
      <w:r>
        <w:lastRenderedPageBreak/>
        <w:t>behind them, and an explanation of any significant differences between options.</w:t>
      </w:r>
    </w:p>
    <w:p w:rsidR="001F5EED" w:rsidRDefault="001F5EED" w:rsidP="001F5EED">
      <w:pPr>
        <w:pStyle w:val="StandardParagraph"/>
      </w:pPr>
      <w:r>
        <w:t xml:space="preserve">The Financial Model should comply with the Board’s accounting policies and with applicable accounting standards. Guidance on the interpretation of accounting standards in the </w:t>
      </w:r>
      <w:proofErr w:type="spellStart"/>
      <w:r>
        <w:t>NHSScotland</w:t>
      </w:r>
      <w:proofErr w:type="spellEnd"/>
      <w:r>
        <w:t xml:space="preserve"> context can be found in the </w:t>
      </w:r>
      <w:proofErr w:type="spellStart"/>
      <w:r>
        <w:t>NHSScotland</w:t>
      </w:r>
      <w:proofErr w:type="spellEnd"/>
      <w:r>
        <w:t xml:space="preserve"> Annual Accounts Manual and the Capital Accounting Manual, which are updated annually by the Technical Accounting Group and distributed to Directors of Finance.</w:t>
      </w:r>
    </w:p>
    <w:p w:rsidR="001F5EED" w:rsidRPr="00056FCE" w:rsidRDefault="001F5EED" w:rsidP="001F5EED">
      <w:pPr>
        <w:pStyle w:val="Heading1"/>
      </w:pPr>
      <w:r>
        <w:t>Capital and R</w:t>
      </w:r>
      <w:r w:rsidRPr="00056FCE">
        <w:t xml:space="preserve">evenue </w:t>
      </w:r>
      <w:r>
        <w:t>F</w:t>
      </w:r>
      <w:r w:rsidRPr="00056FCE">
        <w:t xml:space="preserve">inanced </w:t>
      </w:r>
      <w:r>
        <w:t>I</w:t>
      </w:r>
      <w:r w:rsidRPr="00056FCE">
        <w:t xml:space="preserve">mpact </w:t>
      </w:r>
    </w:p>
    <w:p w:rsidR="001F5EED" w:rsidRPr="00D0670F" w:rsidRDefault="001F5EED" w:rsidP="001F5EED">
      <w:pPr>
        <w:pStyle w:val="StandardParagraph"/>
      </w:pPr>
      <w:r>
        <w:t>A</w:t>
      </w:r>
      <w:r w:rsidRPr="00D0670F">
        <w:t xml:space="preserve"> </w:t>
      </w:r>
      <w:r>
        <w:t>table and supporting narrative</w:t>
      </w:r>
      <w:r w:rsidRPr="00D0670F">
        <w:t xml:space="preserve"> showing the capital and revenue </w:t>
      </w:r>
      <w:r>
        <w:t>impact of the preferred option</w:t>
      </w:r>
      <w:r w:rsidRPr="00D0670F">
        <w:t xml:space="preserve"> </w:t>
      </w:r>
      <w:r>
        <w:t xml:space="preserve">also needs to </w:t>
      </w:r>
      <w:r w:rsidRPr="00D0670F">
        <w:t>be prepared</w:t>
      </w:r>
      <w:r>
        <w:t>, which sets out:</w:t>
      </w:r>
    </w:p>
    <w:p w:rsidR="001F5EED" w:rsidRPr="00D0670F" w:rsidRDefault="001F5EED" w:rsidP="001F5EED">
      <w:pPr>
        <w:pStyle w:val="StandardBullet0"/>
      </w:pPr>
      <w:r>
        <w:t>T</w:t>
      </w:r>
      <w:r w:rsidRPr="00D0670F">
        <w:t>he capital and revenue consequences of the preferred option over the life span of the service and/or contract period</w:t>
      </w:r>
      <w:r>
        <w:t xml:space="preserve"> (where the life span of the service is not predetermined, Boards should identify the recurring annual impact)</w:t>
      </w:r>
    </w:p>
    <w:p w:rsidR="001F5EED" w:rsidRPr="00D0670F" w:rsidRDefault="001F5EED" w:rsidP="001F5EED">
      <w:pPr>
        <w:pStyle w:val="StandardBullet0"/>
      </w:pPr>
      <w:r>
        <w:t>H</w:t>
      </w:r>
      <w:r w:rsidRPr="00D0670F">
        <w:t>ow this compares with the original capital ceiling for the scheme (if any)</w:t>
      </w:r>
    </w:p>
    <w:p w:rsidR="001F5EED" w:rsidRPr="00D0670F" w:rsidRDefault="001F5EED" w:rsidP="001F5EED">
      <w:pPr>
        <w:pStyle w:val="StandardBullet0"/>
      </w:pPr>
      <w:r>
        <w:t>A</w:t>
      </w:r>
      <w:r w:rsidRPr="00D0670F">
        <w:t>ny shortfall in capital and revenue r</w:t>
      </w:r>
      <w:r>
        <w:t>equirements (the ‘funding gap’)</w:t>
      </w:r>
    </w:p>
    <w:p w:rsidR="001F5EED" w:rsidRDefault="001F5EED" w:rsidP="001F5EED">
      <w:pPr>
        <w:pStyle w:val="StandardBullet0"/>
      </w:pPr>
      <w:r>
        <w:t>The different sources of funding expected to cover these costs</w:t>
      </w:r>
    </w:p>
    <w:p w:rsidR="001F5EED" w:rsidRDefault="001F5EED" w:rsidP="001F5EED">
      <w:pPr>
        <w:pStyle w:val="StandardBullet0"/>
      </w:pPr>
      <w:r>
        <w:t>The status of any project risk contingency and optimism bias, including how funds are to be controlled and managed</w:t>
      </w:r>
    </w:p>
    <w:p w:rsidR="001F5EED" w:rsidRDefault="001F5EED" w:rsidP="001F5EED">
      <w:pPr>
        <w:pStyle w:val="StandardBullet0"/>
      </w:pPr>
      <w:r>
        <w:t>A list of any costs not included in the main project costs, an explanation of the reasons why, and any actions needed to determine their expenditure.</w:t>
      </w:r>
    </w:p>
    <w:p w:rsidR="001F5EED" w:rsidRPr="00D0670F" w:rsidRDefault="001F5EED" w:rsidP="001F5EED">
      <w:pPr>
        <w:pStyle w:val="StandardBullet0"/>
      </w:pPr>
      <w:r>
        <w:t>A summary of any changes in costs since previously reported, with an indication of the reasons why.</w:t>
      </w:r>
    </w:p>
    <w:p w:rsidR="001F5EED" w:rsidRPr="00515AF9" w:rsidRDefault="001F5EED" w:rsidP="001F5EED">
      <w:pPr>
        <w:pStyle w:val="StandardParagraph"/>
      </w:pPr>
      <w:r>
        <w:t>This information should further</w:t>
      </w:r>
      <w:r w:rsidRPr="00515AF9">
        <w:t xml:space="preserve"> indicate the capital sum being requested and detail how the Board will meet the ongoing costs of the project. </w:t>
      </w:r>
    </w:p>
    <w:p w:rsidR="001F5EED" w:rsidRDefault="001F5EED" w:rsidP="001F5EED">
      <w:pPr>
        <w:pStyle w:val="StandardParagraph"/>
        <w:rPr>
          <w:szCs w:val="24"/>
        </w:rPr>
      </w:pPr>
      <w:r>
        <w:rPr>
          <w:szCs w:val="24"/>
        </w:rPr>
        <w:t>Note: r</w:t>
      </w:r>
      <w:r w:rsidRPr="00515AF9">
        <w:rPr>
          <w:szCs w:val="24"/>
        </w:rPr>
        <w:t>ecurring and non-recurring revenue</w:t>
      </w:r>
      <w:r>
        <w:rPr>
          <w:szCs w:val="24"/>
        </w:rPr>
        <w:t xml:space="preserve"> / operating</w:t>
      </w:r>
      <w:r w:rsidRPr="00515AF9">
        <w:rPr>
          <w:szCs w:val="24"/>
        </w:rPr>
        <w:t xml:space="preserve"> costs should </w:t>
      </w:r>
      <w:r>
        <w:rPr>
          <w:szCs w:val="24"/>
        </w:rPr>
        <w:t xml:space="preserve">have been </w:t>
      </w:r>
      <w:r w:rsidRPr="00515AF9">
        <w:rPr>
          <w:szCs w:val="24"/>
        </w:rPr>
        <w:t xml:space="preserve">set out in the Financial </w:t>
      </w:r>
      <w:r>
        <w:rPr>
          <w:szCs w:val="24"/>
        </w:rPr>
        <w:t xml:space="preserve">Model, and thus do not need to be repeated here. </w:t>
      </w:r>
      <w:r>
        <w:rPr>
          <w:szCs w:val="24"/>
        </w:rPr>
        <w:br w:type="page"/>
      </w:r>
    </w:p>
    <w:p w:rsidR="001F5EED" w:rsidRDefault="001F5EED" w:rsidP="001F5EED">
      <w:pPr>
        <w:pStyle w:val="Heading2"/>
        <w:jc w:val="left"/>
      </w:pPr>
      <w:r w:rsidRPr="00B87A7F">
        <w:lastRenderedPageBreak/>
        <w:t xml:space="preserve">Summary of </w:t>
      </w:r>
      <w:r>
        <w:t xml:space="preserve">conventional </w:t>
      </w:r>
      <w:r w:rsidRPr="00B87A7F">
        <w:t>capital costs and funding requirements</w:t>
      </w:r>
    </w:p>
    <w:p w:rsidR="001F5EED" w:rsidRPr="00B87A7F" w:rsidRDefault="001F5EED" w:rsidP="001F5EED">
      <w:pPr>
        <w:pStyle w:val="StandardParagraph"/>
      </w:pPr>
      <w:r>
        <w:rPr>
          <w:szCs w:val="24"/>
        </w:rPr>
        <w:t>The following tables form a standard t</w:t>
      </w:r>
      <w:r w:rsidRPr="00515AF9">
        <w:rPr>
          <w:szCs w:val="24"/>
        </w:rPr>
        <w:t>emplate</w:t>
      </w:r>
      <w:r>
        <w:rPr>
          <w:szCs w:val="24"/>
        </w:rPr>
        <w:t xml:space="preserve"> for</w:t>
      </w:r>
      <w:r w:rsidRPr="00515AF9">
        <w:rPr>
          <w:szCs w:val="24"/>
        </w:rPr>
        <w:t xml:space="preserve"> present</w:t>
      </w:r>
      <w:r>
        <w:rPr>
          <w:szCs w:val="24"/>
        </w:rPr>
        <w:t>ing</w:t>
      </w:r>
      <w:r w:rsidRPr="00515AF9">
        <w:rPr>
          <w:szCs w:val="24"/>
        </w:rPr>
        <w:t xml:space="preserve"> </w:t>
      </w:r>
      <w:r>
        <w:rPr>
          <w:szCs w:val="24"/>
        </w:rPr>
        <w:t xml:space="preserve">in a clear, consistent and concise manner </w:t>
      </w:r>
      <w:r w:rsidRPr="00515AF9">
        <w:rPr>
          <w:szCs w:val="24"/>
        </w:rPr>
        <w:t xml:space="preserve">the capital financials </w:t>
      </w:r>
      <w:r>
        <w:rPr>
          <w:szCs w:val="24"/>
        </w:rPr>
        <w:t xml:space="preserve">for </w:t>
      </w:r>
      <w:r w:rsidRPr="00515AF9">
        <w:rPr>
          <w:szCs w:val="24"/>
        </w:rPr>
        <w:t xml:space="preserve">a typical public capital funded </w:t>
      </w:r>
      <w:r w:rsidR="001B021C">
        <w:rPr>
          <w:szCs w:val="24"/>
        </w:rPr>
        <w:t xml:space="preserve">building </w:t>
      </w:r>
      <w:r w:rsidRPr="00515AF9">
        <w:rPr>
          <w:szCs w:val="24"/>
        </w:rPr>
        <w:t>project</w:t>
      </w:r>
      <w:r>
        <w:rPr>
          <w:szCs w:val="24"/>
        </w:rPr>
        <w:t xml:space="preserve">.  </w:t>
      </w:r>
      <w:r>
        <w:t xml:space="preserve">This will need to be accompanied with detailed narrative </w:t>
      </w:r>
      <w:r w:rsidR="001B021C">
        <w:t xml:space="preserve">and Construction Cost Plan </w:t>
      </w:r>
      <w:r>
        <w:t>explaining how these costs have been calculated, any key assumptions behind them, and an explanation of any significant differences between options.</w:t>
      </w:r>
    </w:p>
    <w:tbl>
      <w:tblPr>
        <w:tblW w:w="5267"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512"/>
        <w:gridCol w:w="1025"/>
        <w:gridCol w:w="1051"/>
        <w:gridCol w:w="1037"/>
        <w:gridCol w:w="1041"/>
        <w:gridCol w:w="1060"/>
        <w:gridCol w:w="1056"/>
      </w:tblGrid>
      <w:tr w:rsidR="001F5EED" w:rsidRPr="000C213D" w:rsidTr="001F5EED">
        <w:trPr>
          <w:trHeight w:val="540"/>
        </w:trPr>
        <w:tc>
          <w:tcPr>
            <w:tcW w:w="1795" w:type="pct"/>
            <w:vMerge w:val="restart"/>
            <w:tcBorders>
              <w:top w:val="single" w:sz="12" w:space="0" w:color="auto"/>
            </w:tcBorders>
            <w:shd w:val="clear" w:color="auto" w:fill="31849B" w:themeFill="accent5" w:themeFillShade="BF"/>
            <w:noWrap/>
            <w:vAlign w:val="center"/>
            <w:hideMark/>
          </w:tcPr>
          <w:p w:rsidR="001F5EED" w:rsidRPr="000C213D" w:rsidRDefault="001F5EED" w:rsidP="001F5EED">
            <w:pPr>
              <w:spacing w:line="240" w:lineRule="auto"/>
              <w:jc w:val="center"/>
              <w:rPr>
                <w:rFonts w:cs="Arial"/>
                <w:b/>
                <w:bCs/>
                <w:color w:val="000000"/>
                <w:sz w:val="20"/>
                <w:lang w:eastAsia="en-GB"/>
              </w:rPr>
            </w:pPr>
            <w:r w:rsidRPr="000C213D">
              <w:rPr>
                <w:rFonts w:cs="Arial"/>
                <w:b/>
                <w:bCs/>
                <w:color w:val="000000"/>
                <w:sz w:val="16"/>
                <w:szCs w:val="16"/>
                <w:lang w:eastAsia="en-GB"/>
              </w:rPr>
              <w:t>Capital Cost</w:t>
            </w:r>
            <w:r>
              <w:rPr>
                <w:rFonts w:cs="Arial"/>
                <w:b/>
                <w:bCs/>
                <w:color w:val="000000"/>
                <w:sz w:val="16"/>
                <w:szCs w:val="16"/>
                <w:lang w:eastAsia="en-GB"/>
              </w:rPr>
              <w:t>s:</w:t>
            </w:r>
          </w:p>
        </w:tc>
        <w:tc>
          <w:tcPr>
            <w:tcW w:w="524" w:type="pct"/>
            <w:vMerge w:val="restart"/>
            <w:tcBorders>
              <w:top w:val="single" w:sz="12" w:space="0" w:color="auto"/>
            </w:tcBorders>
            <w:shd w:val="clear" w:color="auto" w:fill="31849B" w:themeFill="accent5" w:themeFillShade="BF"/>
            <w:noWrap/>
            <w:vAlign w:val="center"/>
            <w:hideMark/>
          </w:tcPr>
          <w:p w:rsidR="001F5EED" w:rsidRPr="000C213D" w:rsidRDefault="001F5EED" w:rsidP="001F5EED">
            <w:pPr>
              <w:spacing w:line="240" w:lineRule="auto"/>
              <w:jc w:val="center"/>
              <w:rPr>
                <w:rFonts w:cs="Arial"/>
                <w:b/>
                <w:color w:val="000000"/>
                <w:sz w:val="20"/>
                <w:lang w:eastAsia="en-GB"/>
              </w:rPr>
            </w:pPr>
            <w:r w:rsidRPr="000C213D">
              <w:rPr>
                <w:rFonts w:cs="Arial"/>
                <w:b/>
                <w:color w:val="000000"/>
                <w:sz w:val="16"/>
                <w:szCs w:val="16"/>
                <w:lang w:eastAsia="en-GB"/>
              </w:rPr>
              <w:t>Total</w:t>
            </w:r>
            <w:r w:rsidRPr="000C213D">
              <w:rPr>
                <w:rFonts w:cs="Arial"/>
                <w:b/>
                <w:color w:val="000000"/>
                <w:sz w:val="16"/>
                <w:szCs w:val="16"/>
                <w:lang w:eastAsia="en-GB"/>
              </w:rPr>
              <w:br/>
              <w:t>£000s</w:t>
            </w:r>
          </w:p>
        </w:tc>
        <w:tc>
          <w:tcPr>
            <w:tcW w:w="1599" w:type="pct"/>
            <w:gridSpan w:val="3"/>
            <w:tcBorders>
              <w:top w:val="single" w:sz="12" w:space="0" w:color="auto"/>
              <w:bottom w:val="single" w:sz="6" w:space="0" w:color="auto"/>
            </w:tcBorders>
            <w:shd w:val="clear" w:color="auto"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b/>
                <w:color w:val="000000"/>
                <w:sz w:val="16"/>
                <w:szCs w:val="16"/>
                <w:lang w:eastAsia="en-GB"/>
              </w:rPr>
            </w:pPr>
            <w:r w:rsidRPr="000C213D">
              <w:rPr>
                <w:rFonts w:cs="Arial"/>
                <w:b/>
                <w:color w:val="000000"/>
                <w:sz w:val="16"/>
                <w:szCs w:val="16"/>
                <w:lang w:eastAsia="en-GB"/>
              </w:rPr>
              <w:t>Funding</w:t>
            </w:r>
          </w:p>
        </w:tc>
        <w:tc>
          <w:tcPr>
            <w:tcW w:w="1082" w:type="pct"/>
            <w:gridSpan w:val="2"/>
            <w:tcBorders>
              <w:top w:val="single" w:sz="12" w:space="0" w:color="auto"/>
              <w:bottom w:val="single" w:sz="6" w:space="0" w:color="auto"/>
            </w:tcBorders>
            <w:shd w:val="clear" w:color="auto" w:fill="31849B" w:themeFill="accent5" w:themeFillShade="BF"/>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b/>
                <w:color w:val="000000"/>
                <w:sz w:val="16"/>
                <w:szCs w:val="16"/>
                <w:lang w:eastAsia="en-GB"/>
              </w:rPr>
            </w:pPr>
            <w:r w:rsidRPr="000C213D">
              <w:rPr>
                <w:rFonts w:cs="Arial"/>
                <w:b/>
                <w:color w:val="000000"/>
                <w:sz w:val="16"/>
                <w:szCs w:val="16"/>
                <w:lang w:eastAsia="en-GB"/>
              </w:rPr>
              <w:t>Change to OBC</w:t>
            </w:r>
            <w:r w:rsidRPr="000C213D">
              <w:rPr>
                <w:rFonts w:cs="Arial"/>
                <w:b/>
                <w:color w:val="000000"/>
                <w:sz w:val="16"/>
                <w:szCs w:val="16"/>
                <w:lang w:eastAsia="en-GB"/>
              </w:rPr>
              <w:br/>
              <w:t>(</w:t>
            </w:r>
            <w:r w:rsidRPr="000C213D">
              <w:rPr>
                <w:rFonts w:cs="Arial"/>
                <w:b/>
                <w:i/>
                <w:iCs/>
                <w:color w:val="000000"/>
                <w:sz w:val="16"/>
                <w:szCs w:val="16"/>
                <w:lang w:eastAsia="en-GB"/>
              </w:rPr>
              <w:t>FBC only</w:t>
            </w:r>
            <w:r w:rsidRPr="000C213D">
              <w:rPr>
                <w:rFonts w:cs="Arial"/>
                <w:b/>
                <w:color w:val="000000"/>
                <w:sz w:val="16"/>
                <w:szCs w:val="16"/>
                <w:lang w:eastAsia="en-GB"/>
              </w:rPr>
              <w:t>)</w:t>
            </w:r>
          </w:p>
        </w:tc>
      </w:tr>
      <w:tr w:rsidR="001F5EED" w:rsidRPr="000C213D" w:rsidTr="001F5EED">
        <w:trPr>
          <w:trHeight w:val="1020"/>
        </w:trPr>
        <w:tc>
          <w:tcPr>
            <w:tcW w:w="1795" w:type="pct"/>
            <w:vMerge/>
            <w:tcBorders>
              <w:bottom w:val="single" w:sz="6" w:space="0" w:color="auto"/>
            </w:tcBorders>
            <w:shd w:val="clear" w:color="auto" w:fill="31849B" w:themeFill="accent5" w:themeFillShade="BF"/>
            <w:noWrap/>
            <w:vAlign w:val="bottom"/>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b/>
                <w:bCs/>
                <w:color w:val="000000"/>
                <w:sz w:val="16"/>
                <w:szCs w:val="16"/>
                <w:lang w:eastAsia="en-GB"/>
              </w:rPr>
            </w:pPr>
          </w:p>
        </w:tc>
        <w:tc>
          <w:tcPr>
            <w:tcW w:w="524" w:type="pct"/>
            <w:vMerge/>
            <w:tcBorders>
              <w:bottom w:val="single" w:sz="6" w:space="0" w:color="auto"/>
            </w:tcBorders>
            <w:shd w:val="clear" w:color="auto" w:fill="31849B" w:themeFill="accent5" w:themeFillShade="BF"/>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7" w:type="pct"/>
            <w:tcBorders>
              <w:top w:val="single" w:sz="6" w:space="0" w:color="auto"/>
              <w:bottom w:val="single" w:sz="6" w:space="0" w:color="auto"/>
            </w:tcBorders>
            <w:shd w:val="clear" w:color="auto" w:fill="31849B" w:themeFill="accent5" w:themeFillShade="BF"/>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r w:rsidRPr="000C213D">
              <w:rPr>
                <w:rFonts w:cs="Arial"/>
                <w:color w:val="000000"/>
                <w:sz w:val="16"/>
                <w:szCs w:val="16"/>
                <w:lang w:eastAsia="en-GB"/>
              </w:rPr>
              <w:t>Existing Resources</w:t>
            </w:r>
            <w:r w:rsidRPr="000C213D">
              <w:rPr>
                <w:rFonts w:cs="Arial"/>
                <w:color w:val="000000"/>
                <w:sz w:val="16"/>
                <w:szCs w:val="16"/>
                <w:lang w:eastAsia="en-GB"/>
              </w:rPr>
              <w:br/>
              <w:t>£000s</w:t>
            </w:r>
          </w:p>
        </w:tc>
        <w:tc>
          <w:tcPr>
            <w:tcW w:w="530" w:type="pct"/>
            <w:tcBorders>
              <w:top w:val="single" w:sz="6" w:space="0" w:color="auto"/>
              <w:bottom w:val="single" w:sz="6" w:space="0" w:color="auto"/>
            </w:tcBorders>
            <w:shd w:val="clear" w:color="auto" w:fill="31849B" w:themeFill="accent5" w:themeFillShade="BF"/>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r w:rsidRPr="000C213D">
              <w:rPr>
                <w:rFonts w:cs="Arial"/>
                <w:color w:val="000000"/>
                <w:sz w:val="16"/>
                <w:szCs w:val="16"/>
                <w:lang w:eastAsia="en-GB"/>
              </w:rPr>
              <w:t xml:space="preserve">Partner </w:t>
            </w:r>
            <w:proofErr w:type="spellStart"/>
            <w:r w:rsidRPr="000C213D">
              <w:rPr>
                <w:rFonts w:cs="Arial"/>
                <w:color w:val="000000"/>
                <w:sz w:val="16"/>
                <w:szCs w:val="16"/>
                <w:lang w:eastAsia="en-GB"/>
              </w:rPr>
              <w:t>contri-butions</w:t>
            </w:r>
            <w:proofErr w:type="spellEnd"/>
            <w:r w:rsidRPr="000C213D">
              <w:rPr>
                <w:rFonts w:cs="Arial"/>
                <w:color w:val="000000"/>
                <w:sz w:val="16"/>
                <w:szCs w:val="16"/>
                <w:lang w:eastAsia="en-GB"/>
              </w:rPr>
              <w:br/>
              <w:t>£000s</w:t>
            </w:r>
          </w:p>
        </w:tc>
        <w:tc>
          <w:tcPr>
            <w:tcW w:w="532" w:type="pct"/>
            <w:tcBorders>
              <w:top w:val="single" w:sz="6" w:space="0" w:color="auto"/>
              <w:bottom w:val="single" w:sz="6" w:space="0" w:color="auto"/>
            </w:tcBorders>
            <w:shd w:val="clear" w:color="auto" w:fill="31849B" w:themeFill="accent5" w:themeFillShade="BF"/>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r w:rsidRPr="000C213D">
              <w:rPr>
                <w:rFonts w:cs="Arial"/>
                <w:color w:val="000000"/>
                <w:sz w:val="16"/>
                <w:szCs w:val="16"/>
                <w:lang w:eastAsia="en-GB"/>
              </w:rPr>
              <w:t xml:space="preserve">SG Additional Funding </w:t>
            </w:r>
            <w:proofErr w:type="spellStart"/>
            <w:r w:rsidRPr="000C213D">
              <w:rPr>
                <w:rFonts w:cs="Arial"/>
                <w:color w:val="000000"/>
                <w:sz w:val="16"/>
                <w:szCs w:val="16"/>
                <w:lang w:eastAsia="en-GB"/>
              </w:rPr>
              <w:t>Requir</w:t>
            </w:r>
            <w:r>
              <w:rPr>
                <w:rFonts w:cs="Arial"/>
                <w:color w:val="000000"/>
                <w:sz w:val="16"/>
                <w:szCs w:val="16"/>
                <w:lang w:eastAsia="en-GB"/>
              </w:rPr>
              <w:t>m</w:t>
            </w:r>
            <w:r w:rsidRPr="000C213D">
              <w:rPr>
                <w:rFonts w:cs="Arial"/>
                <w:color w:val="000000"/>
                <w:sz w:val="16"/>
                <w:szCs w:val="16"/>
                <w:lang w:eastAsia="en-GB"/>
              </w:rPr>
              <w:t>nt</w:t>
            </w:r>
            <w:proofErr w:type="spellEnd"/>
            <w:r w:rsidRPr="000C213D">
              <w:rPr>
                <w:rFonts w:cs="Arial"/>
                <w:color w:val="000000"/>
                <w:sz w:val="16"/>
                <w:szCs w:val="16"/>
                <w:lang w:eastAsia="en-GB"/>
              </w:rPr>
              <w:br/>
              <w:t>£000s</w:t>
            </w:r>
          </w:p>
        </w:tc>
        <w:tc>
          <w:tcPr>
            <w:tcW w:w="542" w:type="pct"/>
            <w:tcBorders>
              <w:top w:val="single" w:sz="6" w:space="0" w:color="auto"/>
              <w:bottom w:val="single" w:sz="6" w:space="0" w:color="auto"/>
            </w:tcBorders>
            <w:shd w:val="clear" w:color="auto" w:fill="31849B" w:themeFill="accent5" w:themeFillShade="BF"/>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r w:rsidRPr="000C213D">
              <w:rPr>
                <w:rFonts w:cs="Arial"/>
                <w:color w:val="000000"/>
                <w:sz w:val="16"/>
                <w:szCs w:val="16"/>
                <w:lang w:eastAsia="en-GB"/>
              </w:rPr>
              <w:t>Total at OBC</w:t>
            </w:r>
            <w:r w:rsidRPr="000C213D">
              <w:rPr>
                <w:rFonts w:cs="Arial"/>
                <w:color w:val="000000"/>
                <w:sz w:val="16"/>
                <w:szCs w:val="16"/>
                <w:lang w:eastAsia="en-GB"/>
              </w:rPr>
              <w:br/>
              <w:t>£000s</w:t>
            </w:r>
          </w:p>
        </w:tc>
        <w:tc>
          <w:tcPr>
            <w:tcW w:w="540" w:type="pct"/>
            <w:tcBorders>
              <w:top w:val="single" w:sz="6" w:space="0" w:color="auto"/>
              <w:bottom w:val="single" w:sz="6" w:space="0" w:color="auto"/>
            </w:tcBorders>
            <w:shd w:val="clear" w:color="auto" w:fill="31849B" w:themeFill="accent5" w:themeFillShade="BF"/>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r w:rsidRPr="000C213D">
              <w:rPr>
                <w:rFonts w:cs="Arial"/>
                <w:color w:val="000000"/>
                <w:sz w:val="16"/>
                <w:szCs w:val="16"/>
                <w:lang w:eastAsia="en-GB"/>
              </w:rPr>
              <w:t>Movement from OBC</w:t>
            </w:r>
            <w:r w:rsidRPr="000C213D">
              <w:rPr>
                <w:rFonts w:cs="Arial"/>
                <w:color w:val="000000"/>
                <w:sz w:val="16"/>
                <w:szCs w:val="16"/>
                <w:lang w:eastAsia="en-GB"/>
              </w:rPr>
              <w:br/>
              <w:t>£000s</w:t>
            </w:r>
          </w:p>
        </w:tc>
      </w:tr>
      <w:tr w:rsidR="001F5EED" w:rsidRPr="000C213D" w:rsidTr="001F5EED">
        <w:trPr>
          <w:trHeight w:val="255"/>
        </w:trPr>
        <w:tc>
          <w:tcPr>
            <w:tcW w:w="1795" w:type="pct"/>
            <w:tcBorders>
              <w:top w:val="single" w:sz="6" w:space="0" w:color="auto"/>
            </w:tcBorders>
            <w:shd w:val="clear" w:color="auto" w:fill="auto"/>
            <w:noWrap/>
            <w:vAlign w:val="bottom"/>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0C213D">
              <w:rPr>
                <w:rFonts w:cs="Arial"/>
                <w:color w:val="000000"/>
                <w:sz w:val="16"/>
                <w:szCs w:val="16"/>
                <w:lang w:eastAsia="en-GB"/>
              </w:rPr>
              <w:t>Building &amp; Engineering works</w:t>
            </w:r>
          </w:p>
        </w:tc>
        <w:tc>
          <w:tcPr>
            <w:tcW w:w="524"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7"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2"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0"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0C213D" w:rsidTr="001F5EED">
        <w:trPr>
          <w:trHeight w:val="255"/>
        </w:trPr>
        <w:tc>
          <w:tcPr>
            <w:tcW w:w="1795" w:type="pct"/>
            <w:shd w:val="clear" w:color="auto" w:fill="auto"/>
            <w:noWrap/>
            <w:vAlign w:val="bottom"/>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0C213D">
              <w:rPr>
                <w:rFonts w:cs="Arial"/>
                <w:color w:val="000000"/>
                <w:sz w:val="16"/>
                <w:szCs w:val="16"/>
                <w:lang w:eastAsia="en-GB"/>
              </w:rPr>
              <w:t>Location adjustment</w:t>
            </w:r>
          </w:p>
        </w:tc>
        <w:tc>
          <w:tcPr>
            <w:tcW w:w="524"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7"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2"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0"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0C213D" w:rsidTr="001F5EED">
        <w:trPr>
          <w:trHeight w:val="255"/>
        </w:trPr>
        <w:tc>
          <w:tcPr>
            <w:tcW w:w="1795" w:type="pct"/>
            <w:shd w:val="clear" w:color="auto" w:fill="auto"/>
            <w:noWrap/>
            <w:vAlign w:val="bottom"/>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0C213D">
              <w:rPr>
                <w:rFonts w:cs="Arial"/>
                <w:color w:val="000000"/>
                <w:sz w:val="16"/>
                <w:szCs w:val="16"/>
                <w:lang w:eastAsia="en-GB"/>
              </w:rPr>
              <w:t>Quantified Construction Risk</w:t>
            </w:r>
          </w:p>
        </w:tc>
        <w:tc>
          <w:tcPr>
            <w:tcW w:w="524"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7"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2"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0"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0C213D" w:rsidTr="001F5EED">
        <w:trPr>
          <w:trHeight w:val="255"/>
        </w:trPr>
        <w:tc>
          <w:tcPr>
            <w:tcW w:w="1795" w:type="pct"/>
            <w:tcBorders>
              <w:bottom w:val="single" w:sz="6" w:space="0" w:color="auto"/>
            </w:tcBorders>
            <w:shd w:val="clear" w:color="auto" w:fill="auto"/>
            <w:noWrap/>
            <w:vAlign w:val="bottom"/>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i/>
                <w:iCs/>
                <w:color w:val="000000"/>
                <w:sz w:val="16"/>
                <w:szCs w:val="16"/>
                <w:lang w:eastAsia="en-GB"/>
              </w:rPr>
            </w:pPr>
            <w:r w:rsidRPr="000C213D">
              <w:rPr>
                <w:rFonts w:cs="Arial"/>
                <w:i/>
                <w:iCs/>
                <w:color w:val="000000"/>
                <w:sz w:val="16"/>
                <w:szCs w:val="16"/>
                <w:lang w:eastAsia="en-GB"/>
              </w:rPr>
              <w:t>Additional itemised costs</w:t>
            </w:r>
          </w:p>
        </w:tc>
        <w:tc>
          <w:tcPr>
            <w:tcW w:w="524"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7"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2"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0"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0C213D" w:rsidTr="001F5EED">
        <w:trPr>
          <w:trHeight w:val="255"/>
        </w:trPr>
        <w:tc>
          <w:tcPr>
            <w:tcW w:w="1795"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b/>
                <w:bCs/>
                <w:color w:val="000000"/>
                <w:sz w:val="16"/>
                <w:szCs w:val="16"/>
                <w:lang w:eastAsia="en-GB"/>
              </w:rPr>
            </w:pPr>
            <w:r w:rsidRPr="000C213D">
              <w:rPr>
                <w:rFonts w:cs="Arial"/>
                <w:b/>
                <w:bCs/>
                <w:color w:val="000000"/>
                <w:sz w:val="16"/>
                <w:szCs w:val="16"/>
                <w:lang w:eastAsia="en-GB"/>
              </w:rPr>
              <w:t>Total Construction costs</w:t>
            </w:r>
          </w:p>
        </w:tc>
        <w:tc>
          <w:tcPr>
            <w:tcW w:w="524"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7"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2"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0"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0C213D" w:rsidTr="001F5EED">
        <w:trPr>
          <w:trHeight w:val="255"/>
        </w:trPr>
        <w:tc>
          <w:tcPr>
            <w:tcW w:w="1795" w:type="pct"/>
            <w:tcBorders>
              <w:top w:val="single" w:sz="6" w:space="0" w:color="auto"/>
            </w:tcBorders>
            <w:shd w:val="clear" w:color="auto" w:fill="auto"/>
            <w:noWrap/>
            <w:vAlign w:val="bottom"/>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0C213D">
              <w:rPr>
                <w:rFonts w:cs="Arial"/>
                <w:color w:val="000000"/>
                <w:sz w:val="16"/>
                <w:szCs w:val="16"/>
                <w:lang w:eastAsia="en-GB"/>
              </w:rPr>
              <w:t>Site acquisition</w:t>
            </w:r>
          </w:p>
        </w:tc>
        <w:tc>
          <w:tcPr>
            <w:tcW w:w="524"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7"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2"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0"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0C213D" w:rsidTr="001F5EED">
        <w:trPr>
          <w:trHeight w:val="255"/>
        </w:trPr>
        <w:tc>
          <w:tcPr>
            <w:tcW w:w="1795" w:type="pct"/>
            <w:shd w:val="clear" w:color="auto" w:fill="auto"/>
            <w:noWrap/>
            <w:vAlign w:val="bottom"/>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0C213D">
              <w:rPr>
                <w:rFonts w:cs="Arial"/>
                <w:color w:val="000000"/>
                <w:sz w:val="16"/>
                <w:szCs w:val="16"/>
                <w:lang w:eastAsia="en-GB"/>
              </w:rPr>
              <w:t>Other enabling works</w:t>
            </w:r>
          </w:p>
        </w:tc>
        <w:tc>
          <w:tcPr>
            <w:tcW w:w="524"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7"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2"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0"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0C213D" w:rsidTr="001F5EED">
        <w:trPr>
          <w:trHeight w:val="255"/>
        </w:trPr>
        <w:tc>
          <w:tcPr>
            <w:tcW w:w="1795" w:type="pct"/>
            <w:tcBorders>
              <w:bottom w:val="single" w:sz="6" w:space="0" w:color="auto"/>
            </w:tcBorders>
            <w:shd w:val="clear" w:color="auto" w:fill="auto"/>
            <w:noWrap/>
            <w:vAlign w:val="bottom"/>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i/>
                <w:iCs/>
                <w:color w:val="000000"/>
                <w:sz w:val="16"/>
                <w:szCs w:val="16"/>
                <w:lang w:eastAsia="en-GB"/>
              </w:rPr>
            </w:pPr>
            <w:r w:rsidRPr="000C213D">
              <w:rPr>
                <w:rFonts w:cs="Arial"/>
                <w:i/>
                <w:iCs/>
                <w:color w:val="000000"/>
                <w:sz w:val="16"/>
                <w:szCs w:val="16"/>
                <w:lang w:eastAsia="en-GB"/>
              </w:rPr>
              <w:t>Additional itemised costs</w:t>
            </w:r>
          </w:p>
        </w:tc>
        <w:tc>
          <w:tcPr>
            <w:tcW w:w="524"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7"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2"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0"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0C213D" w:rsidTr="001F5EED">
        <w:trPr>
          <w:trHeight w:val="255"/>
        </w:trPr>
        <w:tc>
          <w:tcPr>
            <w:tcW w:w="1795"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b/>
                <w:bCs/>
                <w:color w:val="000000"/>
                <w:sz w:val="16"/>
                <w:szCs w:val="16"/>
                <w:lang w:eastAsia="en-GB"/>
              </w:rPr>
            </w:pPr>
            <w:r w:rsidRPr="000C213D">
              <w:rPr>
                <w:rFonts w:cs="Arial"/>
                <w:b/>
                <w:bCs/>
                <w:color w:val="000000"/>
                <w:sz w:val="16"/>
                <w:szCs w:val="16"/>
                <w:lang w:eastAsia="en-GB"/>
              </w:rPr>
              <w:t>Total other construction related costs</w:t>
            </w:r>
          </w:p>
        </w:tc>
        <w:tc>
          <w:tcPr>
            <w:tcW w:w="524"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7"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2"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0"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0C213D" w:rsidTr="001F5EED">
        <w:trPr>
          <w:trHeight w:val="255"/>
        </w:trPr>
        <w:tc>
          <w:tcPr>
            <w:tcW w:w="1795" w:type="pct"/>
            <w:tcBorders>
              <w:top w:val="single" w:sz="6" w:space="0" w:color="auto"/>
            </w:tcBorders>
            <w:shd w:val="clear" w:color="auto" w:fill="auto"/>
            <w:noWrap/>
            <w:vAlign w:val="bottom"/>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0C213D">
              <w:rPr>
                <w:rFonts w:cs="Arial"/>
                <w:color w:val="000000"/>
                <w:sz w:val="16"/>
                <w:szCs w:val="16"/>
                <w:lang w:eastAsia="en-GB"/>
              </w:rPr>
              <w:t>Furniture</w:t>
            </w:r>
          </w:p>
        </w:tc>
        <w:tc>
          <w:tcPr>
            <w:tcW w:w="524"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7"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2"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0"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0C213D" w:rsidTr="001F5EED">
        <w:trPr>
          <w:trHeight w:val="255"/>
        </w:trPr>
        <w:tc>
          <w:tcPr>
            <w:tcW w:w="1795" w:type="pct"/>
            <w:shd w:val="clear" w:color="auto" w:fill="auto"/>
            <w:noWrap/>
            <w:vAlign w:val="bottom"/>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0C213D">
              <w:rPr>
                <w:rFonts w:cs="Arial"/>
                <w:color w:val="000000"/>
                <w:sz w:val="16"/>
                <w:szCs w:val="16"/>
                <w:lang w:eastAsia="en-GB"/>
              </w:rPr>
              <w:t>IT</w:t>
            </w:r>
          </w:p>
        </w:tc>
        <w:tc>
          <w:tcPr>
            <w:tcW w:w="524"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7"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2"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0"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0C213D" w:rsidTr="001F5EED">
        <w:trPr>
          <w:trHeight w:val="255"/>
        </w:trPr>
        <w:tc>
          <w:tcPr>
            <w:tcW w:w="1795" w:type="pct"/>
            <w:shd w:val="clear" w:color="auto" w:fill="auto"/>
            <w:noWrap/>
            <w:vAlign w:val="bottom"/>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0C213D">
              <w:rPr>
                <w:rFonts w:cs="Arial"/>
                <w:color w:val="000000"/>
                <w:sz w:val="16"/>
                <w:szCs w:val="16"/>
                <w:lang w:eastAsia="en-GB"/>
              </w:rPr>
              <w:t>Medical Equipment</w:t>
            </w:r>
          </w:p>
        </w:tc>
        <w:tc>
          <w:tcPr>
            <w:tcW w:w="524"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7"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2"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0" w:type="pct"/>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0C213D" w:rsidTr="001F5EED">
        <w:trPr>
          <w:trHeight w:val="255"/>
        </w:trPr>
        <w:tc>
          <w:tcPr>
            <w:tcW w:w="1795" w:type="pct"/>
            <w:tcBorders>
              <w:bottom w:val="single" w:sz="6" w:space="0" w:color="auto"/>
            </w:tcBorders>
            <w:shd w:val="clear" w:color="auto" w:fill="auto"/>
            <w:noWrap/>
            <w:vAlign w:val="bottom"/>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i/>
                <w:iCs/>
                <w:color w:val="000000"/>
                <w:sz w:val="16"/>
                <w:szCs w:val="16"/>
                <w:lang w:eastAsia="en-GB"/>
              </w:rPr>
            </w:pPr>
            <w:r w:rsidRPr="000C213D">
              <w:rPr>
                <w:rFonts w:cs="Arial"/>
                <w:i/>
                <w:iCs/>
                <w:color w:val="000000"/>
                <w:sz w:val="16"/>
                <w:szCs w:val="16"/>
                <w:lang w:eastAsia="en-GB"/>
              </w:rPr>
              <w:t>Additional itemised costs</w:t>
            </w:r>
          </w:p>
        </w:tc>
        <w:tc>
          <w:tcPr>
            <w:tcW w:w="524"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7"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2"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0"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0C213D" w:rsidTr="001F5EED">
        <w:trPr>
          <w:trHeight w:val="255"/>
        </w:trPr>
        <w:tc>
          <w:tcPr>
            <w:tcW w:w="1795"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b/>
                <w:bCs/>
                <w:color w:val="000000"/>
                <w:sz w:val="16"/>
                <w:szCs w:val="16"/>
                <w:lang w:eastAsia="en-GB"/>
              </w:rPr>
            </w:pPr>
            <w:r w:rsidRPr="000C213D">
              <w:rPr>
                <w:rFonts w:cs="Arial"/>
                <w:b/>
                <w:bCs/>
                <w:color w:val="000000"/>
                <w:sz w:val="16"/>
                <w:szCs w:val="16"/>
                <w:lang w:eastAsia="en-GB"/>
              </w:rPr>
              <w:t>Total furniture and equipment</w:t>
            </w:r>
          </w:p>
        </w:tc>
        <w:tc>
          <w:tcPr>
            <w:tcW w:w="524"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7"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2"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0"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0C213D" w:rsidTr="001F5EED">
        <w:trPr>
          <w:trHeight w:val="255"/>
        </w:trPr>
        <w:tc>
          <w:tcPr>
            <w:tcW w:w="1795" w:type="pct"/>
            <w:tcBorders>
              <w:top w:val="single" w:sz="6" w:space="0" w:color="auto"/>
              <w:bottom w:val="single" w:sz="6" w:space="0" w:color="auto"/>
            </w:tcBorders>
            <w:shd w:val="clear" w:color="auto" w:fill="auto"/>
            <w:noWrap/>
            <w:vAlign w:val="bottom"/>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0C213D">
              <w:rPr>
                <w:rFonts w:cs="Arial"/>
                <w:color w:val="000000"/>
                <w:sz w:val="16"/>
                <w:szCs w:val="16"/>
                <w:lang w:eastAsia="en-GB"/>
              </w:rPr>
              <w:t>Additional Quantified Risk</w:t>
            </w:r>
          </w:p>
        </w:tc>
        <w:tc>
          <w:tcPr>
            <w:tcW w:w="524" w:type="pct"/>
            <w:tcBorders>
              <w:top w:val="single" w:sz="6" w:space="0" w:color="auto"/>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7" w:type="pct"/>
            <w:tcBorders>
              <w:top w:val="single" w:sz="6" w:space="0" w:color="auto"/>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2" w:type="pct"/>
            <w:tcBorders>
              <w:top w:val="single" w:sz="6" w:space="0" w:color="auto"/>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0" w:type="pct"/>
            <w:tcBorders>
              <w:top w:val="single" w:sz="6" w:space="0" w:color="auto"/>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0C213D" w:rsidTr="001F5EED">
        <w:trPr>
          <w:trHeight w:val="255"/>
        </w:trPr>
        <w:tc>
          <w:tcPr>
            <w:tcW w:w="1795"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b/>
                <w:bCs/>
                <w:color w:val="000000"/>
                <w:sz w:val="16"/>
                <w:szCs w:val="16"/>
                <w:lang w:eastAsia="en-GB"/>
              </w:rPr>
            </w:pPr>
            <w:r w:rsidRPr="000C213D">
              <w:rPr>
                <w:rFonts w:cs="Arial"/>
                <w:b/>
                <w:bCs/>
                <w:color w:val="000000"/>
                <w:sz w:val="16"/>
                <w:szCs w:val="16"/>
                <w:lang w:eastAsia="en-GB"/>
              </w:rPr>
              <w:t>Total estimated cost before VAT and fees</w:t>
            </w:r>
          </w:p>
        </w:tc>
        <w:tc>
          <w:tcPr>
            <w:tcW w:w="524"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7"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2"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0"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0C213D" w:rsidTr="001F5EED">
        <w:trPr>
          <w:trHeight w:val="270"/>
        </w:trPr>
        <w:tc>
          <w:tcPr>
            <w:tcW w:w="1795" w:type="pct"/>
            <w:tcBorders>
              <w:top w:val="single" w:sz="6" w:space="0" w:color="auto"/>
            </w:tcBorders>
            <w:shd w:val="clear" w:color="auto" w:fill="auto"/>
            <w:noWrap/>
            <w:vAlign w:val="bottom"/>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0C213D">
              <w:rPr>
                <w:rFonts w:cs="Arial"/>
                <w:color w:val="000000"/>
                <w:sz w:val="16"/>
                <w:szCs w:val="16"/>
                <w:lang w:eastAsia="en-GB"/>
              </w:rPr>
              <w:t>VAT</w:t>
            </w:r>
          </w:p>
        </w:tc>
        <w:tc>
          <w:tcPr>
            <w:tcW w:w="524"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7"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2"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0" w:type="pct"/>
            <w:tcBorders>
              <w:top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0C213D" w:rsidTr="001F5EED">
        <w:trPr>
          <w:trHeight w:val="255"/>
        </w:trPr>
        <w:tc>
          <w:tcPr>
            <w:tcW w:w="1795" w:type="pct"/>
            <w:tcBorders>
              <w:bottom w:val="single" w:sz="6" w:space="0" w:color="auto"/>
            </w:tcBorders>
            <w:shd w:val="clear" w:color="auto" w:fill="auto"/>
            <w:noWrap/>
            <w:vAlign w:val="bottom"/>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0C213D">
              <w:rPr>
                <w:rFonts w:cs="Arial"/>
                <w:color w:val="000000"/>
                <w:sz w:val="16"/>
                <w:szCs w:val="16"/>
                <w:lang w:eastAsia="en-GB"/>
              </w:rPr>
              <w:t>Professional Fees</w:t>
            </w:r>
          </w:p>
        </w:tc>
        <w:tc>
          <w:tcPr>
            <w:tcW w:w="524"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7"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2"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0" w:type="pct"/>
            <w:tcBorders>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0C213D" w:rsidTr="001F5EED">
        <w:trPr>
          <w:trHeight w:val="510"/>
        </w:trPr>
        <w:tc>
          <w:tcPr>
            <w:tcW w:w="1795" w:type="pct"/>
            <w:tcBorders>
              <w:top w:val="single" w:sz="6" w:space="0" w:color="auto"/>
              <w:bottom w:val="single" w:sz="6" w:space="0" w:color="auto"/>
            </w:tcBorders>
            <w:shd w:val="clear" w:color="000000" w:fill="31849B" w:themeFill="accent5" w:themeFillShade="BF"/>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b/>
                <w:bCs/>
                <w:color w:val="000000"/>
                <w:sz w:val="16"/>
                <w:szCs w:val="16"/>
                <w:lang w:eastAsia="en-GB"/>
              </w:rPr>
            </w:pPr>
            <w:r w:rsidRPr="000C213D">
              <w:rPr>
                <w:rFonts w:cs="Arial"/>
                <w:b/>
                <w:bCs/>
                <w:color w:val="000000"/>
                <w:sz w:val="16"/>
                <w:szCs w:val="16"/>
                <w:lang w:eastAsia="en-GB"/>
              </w:rPr>
              <w:t>Total estimated cost including VAT and fees but before optimism bias</w:t>
            </w:r>
          </w:p>
        </w:tc>
        <w:tc>
          <w:tcPr>
            <w:tcW w:w="524"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7"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2"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0" w:type="pct"/>
            <w:tcBorders>
              <w:top w:val="single" w:sz="6" w:space="0" w:color="auto"/>
              <w:bottom w:val="single" w:sz="6"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0C213D" w:rsidTr="001F5EED">
        <w:trPr>
          <w:trHeight w:val="255"/>
        </w:trPr>
        <w:tc>
          <w:tcPr>
            <w:tcW w:w="1795" w:type="pct"/>
            <w:tcBorders>
              <w:top w:val="single" w:sz="6" w:space="0" w:color="auto"/>
              <w:bottom w:val="single" w:sz="6" w:space="0" w:color="auto"/>
            </w:tcBorders>
            <w:shd w:val="clear" w:color="auto" w:fill="auto"/>
            <w:noWrap/>
            <w:vAlign w:val="bottom"/>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0C213D">
              <w:rPr>
                <w:rFonts w:cs="Arial"/>
                <w:color w:val="000000"/>
                <w:sz w:val="16"/>
                <w:szCs w:val="16"/>
                <w:lang w:eastAsia="en-GB"/>
              </w:rPr>
              <w:t>Allowance for optimism bias</w:t>
            </w:r>
          </w:p>
        </w:tc>
        <w:tc>
          <w:tcPr>
            <w:tcW w:w="524" w:type="pct"/>
            <w:tcBorders>
              <w:top w:val="single" w:sz="6" w:space="0" w:color="auto"/>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7" w:type="pct"/>
            <w:tcBorders>
              <w:top w:val="single" w:sz="6" w:space="0" w:color="auto"/>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2" w:type="pct"/>
            <w:tcBorders>
              <w:top w:val="single" w:sz="6" w:space="0" w:color="auto"/>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0" w:type="pct"/>
            <w:tcBorders>
              <w:top w:val="single" w:sz="6" w:space="0" w:color="auto"/>
              <w:bottom w:val="single" w:sz="6" w:space="0" w:color="auto"/>
            </w:tcBorders>
            <w:shd w:val="clear" w:color="auto" w:fill="auto"/>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0C213D" w:rsidTr="001F5EED">
        <w:trPr>
          <w:trHeight w:val="270"/>
        </w:trPr>
        <w:tc>
          <w:tcPr>
            <w:tcW w:w="1795" w:type="pct"/>
            <w:tcBorders>
              <w:top w:val="single" w:sz="6" w:space="0" w:color="auto"/>
              <w:bottom w:val="single" w:sz="12"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b/>
                <w:bCs/>
                <w:color w:val="000000"/>
                <w:sz w:val="16"/>
                <w:szCs w:val="16"/>
                <w:lang w:eastAsia="en-GB"/>
              </w:rPr>
            </w:pPr>
            <w:r w:rsidRPr="000C213D">
              <w:rPr>
                <w:rFonts w:cs="Arial"/>
                <w:b/>
                <w:bCs/>
                <w:color w:val="000000"/>
                <w:sz w:val="16"/>
                <w:szCs w:val="16"/>
                <w:lang w:eastAsia="en-GB"/>
              </w:rPr>
              <w:t xml:space="preserve">Total estimated cost </w:t>
            </w:r>
          </w:p>
        </w:tc>
        <w:tc>
          <w:tcPr>
            <w:tcW w:w="524" w:type="pct"/>
            <w:tcBorders>
              <w:top w:val="single" w:sz="6" w:space="0" w:color="auto"/>
              <w:bottom w:val="single" w:sz="12"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p>
        </w:tc>
        <w:tc>
          <w:tcPr>
            <w:tcW w:w="537" w:type="pct"/>
            <w:tcBorders>
              <w:top w:val="single" w:sz="6" w:space="0" w:color="auto"/>
              <w:bottom w:val="single" w:sz="12"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p>
        </w:tc>
        <w:tc>
          <w:tcPr>
            <w:tcW w:w="530" w:type="pct"/>
            <w:tcBorders>
              <w:top w:val="single" w:sz="6" w:space="0" w:color="auto"/>
              <w:bottom w:val="single" w:sz="12"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p>
        </w:tc>
        <w:tc>
          <w:tcPr>
            <w:tcW w:w="532" w:type="pct"/>
            <w:tcBorders>
              <w:top w:val="single" w:sz="6" w:space="0" w:color="auto"/>
              <w:bottom w:val="single" w:sz="12"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p>
        </w:tc>
        <w:tc>
          <w:tcPr>
            <w:tcW w:w="542" w:type="pct"/>
            <w:tcBorders>
              <w:top w:val="single" w:sz="6" w:space="0" w:color="auto"/>
              <w:bottom w:val="single" w:sz="12"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p>
        </w:tc>
        <w:tc>
          <w:tcPr>
            <w:tcW w:w="540" w:type="pct"/>
            <w:tcBorders>
              <w:top w:val="single" w:sz="6" w:space="0" w:color="auto"/>
              <w:bottom w:val="single" w:sz="12" w:space="0" w:color="auto"/>
            </w:tcBorders>
            <w:shd w:val="clear" w:color="000000" w:fill="31849B" w:themeFill="accent5" w:themeFillShade="BF"/>
            <w:noWrap/>
            <w:vAlign w:val="center"/>
            <w:hideMark/>
          </w:tcPr>
          <w:p w:rsidR="001F5EED" w:rsidRPr="000C213D"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p>
        </w:tc>
      </w:tr>
    </w:tbl>
    <w:p w:rsidR="001F5EED" w:rsidRDefault="001F5EED" w:rsidP="001F5EED">
      <w:pPr>
        <w:pStyle w:val="NoSpacing"/>
      </w:pPr>
    </w:p>
    <w:tbl>
      <w:tblPr>
        <w:tblW w:w="5267" w:type="pct"/>
        <w:tblInd w:w="-176" w:type="dxa"/>
        <w:tblLook w:val="04A0"/>
      </w:tblPr>
      <w:tblGrid>
        <w:gridCol w:w="1844"/>
        <w:gridCol w:w="1269"/>
        <w:gridCol w:w="1270"/>
        <w:gridCol w:w="1270"/>
        <w:gridCol w:w="1268"/>
        <w:gridCol w:w="1270"/>
        <w:gridCol w:w="1591"/>
      </w:tblGrid>
      <w:tr w:rsidR="001F5EED" w:rsidRPr="00B87A7F" w:rsidTr="001F5EED">
        <w:trPr>
          <w:trHeight w:val="270"/>
        </w:trPr>
        <w:tc>
          <w:tcPr>
            <w:tcW w:w="5000" w:type="pct"/>
            <w:gridSpan w:val="7"/>
            <w:tcBorders>
              <w:top w:val="nil"/>
              <w:left w:val="nil"/>
              <w:bottom w:val="single" w:sz="12" w:space="0" w:color="auto"/>
              <w:right w:val="nil"/>
            </w:tcBorders>
            <w:shd w:val="clear" w:color="auto" w:fill="auto"/>
            <w:noWrap/>
            <w:vAlign w:val="bottom"/>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20"/>
                <w:lang w:eastAsia="en-GB"/>
              </w:rPr>
            </w:pPr>
            <w:r>
              <w:rPr>
                <w:rFonts w:cs="Arial"/>
                <w:b/>
                <w:bCs/>
                <w:color w:val="000000"/>
                <w:sz w:val="20"/>
                <w:lang w:eastAsia="en-GB"/>
              </w:rPr>
              <w:t>Profile of Capital E</w:t>
            </w:r>
            <w:r w:rsidRPr="00B87A7F">
              <w:rPr>
                <w:rFonts w:cs="Arial"/>
                <w:b/>
                <w:bCs/>
                <w:color w:val="000000"/>
                <w:sz w:val="20"/>
                <w:lang w:eastAsia="en-GB"/>
              </w:rPr>
              <w:t>xpenditure</w:t>
            </w:r>
          </w:p>
        </w:tc>
      </w:tr>
      <w:tr w:rsidR="001F5EED" w:rsidRPr="00B87A7F" w:rsidTr="001F5EED">
        <w:trPr>
          <w:trHeight w:val="794"/>
        </w:trPr>
        <w:tc>
          <w:tcPr>
            <w:tcW w:w="943" w:type="pct"/>
            <w:tcBorders>
              <w:top w:val="single" w:sz="12" w:space="0" w:color="auto"/>
              <w:left w:val="single" w:sz="12" w:space="0" w:color="auto"/>
              <w:bottom w:val="single" w:sz="6" w:space="0" w:color="auto"/>
              <w:right w:val="single" w:sz="6" w:space="0" w:color="auto"/>
            </w:tcBorders>
            <w:shd w:val="clear" w:color="000000" w:fill="31849B" w:themeFill="accent5" w:themeFillShade="BF"/>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b/>
                <w:bCs/>
                <w:color w:val="000000"/>
                <w:sz w:val="16"/>
                <w:szCs w:val="16"/>
                <w:lang w:eastAsia="en-GB"/>
              </w:rPr>
            </w:pPr>
            <w:r w:rsidRPr="00B87A7F">
              <w:rPr>
                <w:rFonts w:cs="Arial"/>
                <w:b/>
                <w:bCs/>
                <w:color w:val="000000"/>
                <w:sz w:val="16"/>
                <w:szCs w:val="16"/>
                <w:lang w:eastAsia="en-GB"/>
              </w:rPr>
              <w:t>Year</w:t>
            </w:r>
          </w:p>
        </w:tc>
        <w:tc>
          <w:tcPr>
            <w:tcW w:w="649" w:type="pct"/>
            <w:tcBorders>
              <w:top w:val="single" w:sz="12" w:space="0" w:color="auto"/>
              <w:left w:val="single" w:sz="6" w:space="0" w:color="auto"/>
              <w:bottom w:val="single" w:sz="6" w:space="0" w:color="auto"/>
              <w:right w:val="single" w:sz="6" w:space="0" w:color="auto"/>
            </w:tcBorders>
            <w:shd w:val="clear" w:color="000000" w:fill="31849B" w:themeFill="accent5" w:themeFillShade="BF"/>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r w:rsidRPr="00B87A7F">
              <w:rPr>
                <w:rFonts w:cs="Arial"/>
                <w:color w:val="000000"/>
                <w:sz w:val="16"/>
                <w:szCs w:val="16"/>
                <w:lang w:eastAsia="en-GB"/>
              </w:rPr>
              <w:t>Total Capital Spend</w:t>
            </w:r>
            <w:r w:rsidRPr="00B87A7F">
              <w:rPr>
                <w:rFonts w:cs="Arial"/>
                <w:color w:val="000000"/>
                <w:sz w:val="16"/>
                <w:szCs w:val="16"/>
                <w:lang w:eastAsia="en-GB"/>
              </w:rPr>
              <w:br/>
              <w:t>£000s</w:t>
            </w:r>
          </w:p>
        </w:tc>
        <w:tc>
          <w:tcPr>
            <w:tcW w:w="649" w:type="pct"/>
            <w:tcBorders>
              <w:top w:val="single" w:sz="12" w:space="0" w:color="auto"/>
              <w:left w:val="single" w:sz="6" w:space="0" w:color="auto"/>
              <w:bottom w:val="single" w:sz="6" w:space="0" w:color="auto"/>
              <w:right w:val="single" w:sz="6" w:space="0" w:color="auto"/>
            </w:tcBorders>
            <w:shd w:val="clear" w:color="000000" w:fill="31849B" w:themeFill="accent5" w:themeFillShade="BF"/>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r w:rsidRPr="00B87A7F">
              <w:rPr>
                <w:rFonts w:cs="Arial"/>
                <w:color w:val="000000"/>
                <w:sz w:val="16"/>
                <w:szCs w:val="16"/>
                <w:lang w:eastAsia="en-GB"/>
              </w:rPr>
              <w:t>Existing Resources</w:t>
            </w:r>
            <w:r w:rsidRPr="00B87A7F">
              <w:rPr>
                <w:rFonts w:cs="Arial"/>
                <w:color w:val="000000"/>
                <w:sz w:val="16"/>
                <w:szCs w:val="16"/>
                <w:lang w:eastAsia="en-GB"/>
              </w:rPr>
              <w:br/>
              <w:t>£000s</w:t>
            </w:r>
          </w:p>
        </w:tc>
        <w:tc>
          <w:tcPr>
            <w:tcW w:w="649" w:type="pct"/>
            <w:tcBorders>
              <w:top w:val="single" w:sz="12" w:space="0" w:color="auto"/>
              <w:left w:val="single" w:sz="6" w:space="0" w:color="auto"/>
              <w:bottom w:val="single" w:sz="6" w:space="0" w:color="auto"/>
              <w:right w:val="single" w:sz="6" w:space="0" w:color="auto"/>
            </w:tcBorders>
            <w:shd w:val="clear" w:color="000000" w:fill="31849B" w:themeFill="accent5" w:themeFillShade="BF"/>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r w:rsidRPr="00B87A7F">
              <w:rPr>
                <w:rFonts w:cs="Arial"/>
                <w:color w:val="000000"/>
                <w:sz w:val="16"/>
                <w:szCs w:val="16"/>
                <w:lang w:eastAsia="en-GB"/>
              </w:rPr>
              <w:t>Partner contributions</w:t>
            </w:r>
            <w:r w:rsidRPr="00B87A7F">
              <w:rPr>
                <w:rFonts w:cs="Arial"/>
                <w:color w:val="000000"/>
                <w:sz w:val="16"/>
                <w:szCs w:val="16"/>
                <w:lang w:eastAsia="en-GB"/>
              </w:rPr>
              <w:br/>
              <w:t>£000s</w:t>
            </w:r>
          </w:p>
        </w:tc>
        <w:tc>
          <w:tcPr>
            <w:tcW w:w="648" w:type="pct"/>
            <w:tcBorders>
              <w:top w:val="single" w:sz="12" w:space="0" w:color="auto"/>
              <w:left w:val="single" w:sz="6" w:space="0" w:color="auto"/>
              <w:bottom w:val="single" w:sz="6" w:space="0" w:color="auto"/>
              <w:right w:val="single" w:sz="6" w:space="0" w:color="auto"/>
            </w:tcBorders>
            <w:shd w:val="clear" w:color="000000" w:fill="31849B" w:themeFill="accent5" w:themeFillShade="BF"/>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r w:rsidRPr="00B87A7F">
              <w:rPr>
                <w:rFonts w:cs="Arial"/>
                <w:color w:val="000000"/>
                <w:sz w:val="16"/>
                <w:szCs w:val="16"/>
                <w:lang w:eastAsia="en-GB"/>
              </w:rPr>
              <w:t>SG Additional Funding Requirement</w:t>
            </w:r>
            <w:r w:rsidRPr="00B87A7F">
              <w:rPr>
                <w:rFonts w:cs="Arial"/>
                <w:color w:val="000000"/>
                <w:sz w:val="16"/>
                <w:szCs w:val="16"/>
                <w:lang w:eastAsia="en-GB"/>
              </w:rPr>
              <w:br/>
              <w:t>£000s</w:t>
            </w:r>
          </w:p>
        </w:tc>
        <w:tc>
          <w:tcPr>
            <w:tcW w:w="649" w:type="pct"/>
            <w:tcBorders>
              <w:top w:val="single" w:sz="12" w:space="0" w:color="auto"/>
              <w:left w:val="single" w:sz="6" w:space="0" w:color="auto"/>
              <w:bottom w:val="single" w:sz="6" w:space="0" w:color="auto"/>
              <w:right w:val="single" w:sz="6" w:space="0" w:color="auto"/>
            </w:tcBorders>
            <w:shd w:val="clear" w:color="000000" w:fill="31849B" w:themeFill="accent5" w:themeFillShade="BF"/>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r w:rsidRPr="00B87A7F">
              <w:rPr>
                <w:rFonts w:cs="Arial"/>
                <w:color w:val="000000"/>
                <w:sz w:val="16"/>
                <w:szCs w:val="16"/>
                <w:lang w:eastAsia="en-GB"/>
              </w:rPr>
              <w:t>Total at OBC</w:t>
            </w:r>
            <w:r w:rsidRPr="00B87A7F">
              <w:rPr>
                <w:rFonts w:cs="Arial"/>
                <w:color w:val="000000"/>
                <w:sz w:val="16"/>
                <w:szCs w:val="16"/>
                <w:lang w:eastAsia="en-GB"/>
              </w:rPr>
              <w:br/>
              <w:t>£000s</w:t>
            </w:r>
          </w:p>
        </w:tc>
        <w:tc>
          <w:tcPr>
            <w:tcW w:w="813" w:type="pct"/>
            <w:tcBorders>
              <w:top w:val="single" w:sz="12" w:space="0" w:color="auto"/>
              <w:left w:val="single" w:sz="6" w:space="0" w:color="auto"/>
              <w:bottom w:val="single" w:sz="6" w:space="0" w:color="auto"/>
              <w:right w:val="single" w:sz="12" w:space="0" w:color="auto"/>
            </w:tcBorders>
            <w:shd w:val="clear" w:color="000000" w:fill="31849B" w:themeFill="accent5" w:themeFillShade="BF"/>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r w:rsidRPr="00B87A7F">
              <w:rPr>
                <w:rFonts w:cs="Arial"/>
                <w:color w:val="000000"/>
                <w:sz w:val="16"/>
                <w:szCs w:val="16"/>
                <w:lang w:eastAsia="en-GB"/>
              </w:rPr>
              <w:t>Movement from OBC</w:t>
            </w:r>
            <w:r w:rsidRPr="00B87A7F">
              <w:rPr>
                <w:rFonts w:cs="Arial"/>
                <w:color w:val="000000"/>
                <w:sz w:val="16"/>
                <w:szCs w:val="16"/>
                <w:lang w:eastAsia="en-GB"/>
              </w:rPr>
              <w:br/>
              <w:t>£000s</w:t>
            </w:r>
          </w:p>
        </w:tc>
      </w:tr>
      <w:tr w:rsidR="001F5EED" w:rsidRPr="00B87A7F" w:rsidTr="001F5EED">
        <w:trPr>
          <w:trHeight w:val="255"/>
        </w:trPr>
        <w:tc>
          <w:tcPr>
            <w:tcW w:w="9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b/>
                <w:bCs/>
                <w:color w:val="000000"/>
                <w:sz w:val="16"/>
                <w:szCs w:val="16"/>
                <w:lang w:eastAsia="en-GB"/>
              </w:rPr>
            </w:pPr>
            <w:r w:rsidRPr="00B87A7F">
              <w:rPr>
                <w:rFonts w:cs="Arial"/>
                <w:b/>
                <w:bCs/>
                <w:color w:val="000000"/>
                <w:sz w:val="16"/>
                <w:szCs w:val="16"/>
                <w:lang w:eastAsia="en-GB"/>
              </w:rPr>
              <w:t>Year 1</w:t>
            </w:r>
          </w:p>
        </w:tc>
        <w:tc>
          <w:tcPr>
            <w:tcW w:w="64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8"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81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B87A7F" w:rsidTr="001F5EED">
        <w:trPr>
          <w:trHeight w:val="255"/>
        </w:trPr>
        <w:tc>
          <w:tcPr>
            <w:tcW w:w="9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b/>
                <w:bCs/>
                <w:color w:val="000000"/>
                <w:sz w:val="16"/>
                <w:szCs w:val="16"/>
                <w:lang w:eastAsia="en-GB"/>
              </w:rPr>
            </w:pPr>
            <w:r w:rsidRPr="00B87A7F">
              <w:rPr>
                <w:rFonts w:cs="Arial"/>
                <w:b/>
                <w:bCs/>
                <w:color w:val="000000"/>
                <w:sz w:val="16"/>
                <w:szCs w:val="16"/>
                <w:lang w:eastAsia="en-GB"/>
              </w:rPr>
              <w:t>Year 2</w:t>
            </w:r>
          </w:p>
        </w:tc>
        <w:tc>
          <w:tcPr>
            <w:tcW w:w="64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8"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81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B87A7F" w:rsidTr="001F5EED">
        <w:trPr>
          <w:trHeight w:val="255"/>
        </w:trPr>
        <w:tc>
          <w:tcPr>
            <w:tcW w:w="9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b/>
                <w:bCs/>
                <w:color w:val="000000"/>
                <w:sz w:val="16"/>
                <w:szCs w:val="16"/>
                <w:lang w:eastAsia="en-GB"/>
              </w:rPr>
            </w:pPr>
            <w:r w:rsidRPr="00B87A7F">
              <w:rPr>
                <w:rFonts w:cs="Arial"/>
                <w:b/>
                <w:bCs/>
                <w:color w:val="000000"/>
                <w:sz w:val="16"/>
                <w:szCs w:val="16"/>
                <w:lang w:eastAsia="en-GB"/>
              </w:rPr>
              <w:t>Year 3</w:t>
            </w:r>
          </w:p>
        </w:tc>
        <w:tc>
          <w:tcPr>
            <w:tcW w:w="64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8"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81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B87A7F" w:rsidTr="001F5EED">
        <w:trPr>
          <w:trHeight w:val="255"/>
        </w:trPr>
        <w:tc>
          <w:tcPr>
            <w:tcW w:w="9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b/>
                <w:bCs/>
                <w:color w:val="000000"/>
                <w:sz w:val="16"/>
                <w:szCs w:val="16"/>
                <w:lang w:eastAsia="en-GB"/>
              </w:rPr>
            </w:pPr>
            <w:r w:rsidRPr="00B87A7F">
              <w:rPr>
                <w:rFonts w:cs="Arial"/>
                <w:b/>
                <w:bCs/>
                <w:color w:val="000000"/>
                <w:sz w:val="16"/>
                <w:szCs w:val="16"/>
                <w:lang w:eastAsia="en-GB"/>
              </w:rPr>
              <w:t>Year 4</w:t>
            </w:r>
          </w:p>
        </w:tc>
        <w:tc>
          <w:tcPr>
            <w:tcW w:w="64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8"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81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B87A7F" w:rsidTr="001F5EED">
        <w:trPr>
          <w:trHeight w:val="255"/>
        </w:trPr>
        <w:tc>
          <w:tcPr>
            <w:tcW w:w="943" w:type="pct"/>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i/>
                <w:iCs/>
                <w:color w:val="000000"/>
                <w:sz w:val="16"/>
                <w:szCs w:val="16"/>
                <w:lang w:eastAsia="en-GB"/>
              </w:rPr>
            </w:pPr>
            <w:r w:rsidRPr="00B87A7F">
              <w:rPr>
                <w:rFonts w:cs="Arial"/>
                <w:i/>
                <w:iCs/>
                <w:color w:val="000000"/>
                <w:sz w:val="16"/>
                <w:szCs w:val="16"/>
                <w:lang w:eastAsia="en-GB"/>
              </w:rPr>
              <w:t>etc</w:t>
            </w:r>
          </w:p>
        </w:tc>
        <w:tc>
          <w:tcPr>
            <w:tcW w:w="64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8"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9" w:type="pct"/>
            <w:tcBorders>
              <w:top w:val="single" w:sz="6" w:space="0" w:color="auto"/>
              <w:left w:val="single" w:sz="6" w:space="0" w:color="auto"/>
              <w:bottom w:val="single" w:sz="6" w:space="0" w:color="auto"/>
              <w:right w:val="single" w:sz="6"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813" w:type="pct"/>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B87A7F" w:rsidTr="001F5EED">
        <w:trPr>
          <w:trHeight w:val="270"/>
        </w:trPr>
        <w:tc>
          <w:tcPr>
            <w:tcW w:w="943" w:type="pct"/>
            <w:tcBorders>
              <w:top w:val="single" w:sz="6" w:space="0" w:color="auto"/>
              <w:left w:val="single" w:sz="12" w:space="0" w:color="auto"/>
              <w:bottom w:val="single" w:sz="12" w:space="0" w:color="auto"/>
              <w:right w:val="single" w:sz="6" w:space="0" w:color="auto"/>
            </w:tcBorders>
            <w:shd w:val="clear" w:color="000000" w:fill="31849B" w:themeFill="accent5" w:themeFillShade="BF"/>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b/>
                <w:bCs/>
                <w:color w:val="000000"/>
                <w:sz w:val="16"/>
                <w:szCs w:val="16"/>
                <w:lang w:eastAsia="en-GB"/>
              </w:rPr>
            </w:pPr>
            <w:r w:rsidRPr="00B87A7F">
              <w:rPr>
                <w:rFonts w:cs="Arial"/>
                <w:b/>
                <w:bCs/>
                <w:color w:val="000000"/>
                <w:sz w:val="16"/>
                <w:szCs w:val="16"/>
                <w:lang w:eastAsia="en-GB"/>
              </w:rPr>
              <w:t>Total</w:t>
            </w:r>
          </w:p>
        </w:tc>
        <w:tc>
          <w:tcPr>
            <w:tcW w:w="649" w:type="pct"/>
            <w:tcBorders>
              <w:top w:val="single" w:sz="6" w:space="0" w:color="auto"/>
              <w:left w:val="single" w:sz="6" w:space="0" w:color="auto"/>
              <w:bottom w:val="single" w:sz="12" w:space="0" w:color="auto"/>
              <w:right w:val="single" w:sz="6" w:space="0" w:color="auto"/>
            </w:tcBorders>
            <w:shd w:val="clear" w:color="000000" w:fill="31849B" w:themeFill="accent5" w:themeFillShade="BF"/>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9" w:type="pct"/>
            <w:tcBorders>
              <w:top w:val="single" w:sz="6" w:space="0" w:color="auto"/>
              <w:left w:val="single" w:sz="6" w:space="0" w:color="auto"/>
              <w:bottom w:val="single" w:sz="12" w:space="0" w:color="auto"/>
              <w:right w:val="single" w:sz="6" w:space="0" w:color="auto"/>
            </w:tcBorders>
            <w:shd w:val="clear" w:color="000000" w:fill="31849B" w:themeFill="accent5" w:themeFillShade="BF"/>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9" w:type="pct"/>
            <w:tcBorders>
              <w:top w:val="single" w:sz="6" w:space="0" w:color="auto"/>
              <w:left w:val="single" w:sz="6" w:space="0" w:color="auto"/>
              <w:bottom w:val="single" w:sz="12" w:space="0" w:color="auto"/>
              <w:right w:val="single" w:sz="6" w:space="0" w:color="auto"/>
            </w:tcBorders>
            <w:shd w:val="clear" w:color="000000" w:fill="31849B" w:themeFill="accent5" w:themeFillShade="BF"/>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8" w:type="pct"/>
            <w:tcBorders>
              <w:top w:val="single" w:sz="6" w:space="0" w:color="auto"/>
              <w:left w:val="single" w:sz="6" w:space="0" w:color="auto"/>
              <w:bottom w:val="single" w:sz="12" w:space="0" w:color="auto"/>
              <w:right w:val="single" w:sz="6" w:space="0" w:color="auto"/>
            </w:tcBorders>
            <w:shd w:val="clear" w:color="000000" w:fill="31849B" w:themeFill="accent5" w:themeFillShade="BF"/>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649" w:type="pct"/>
            <w:tcBorders>
              <w:top w:val="single" w:sz="6" w:space="0" w:color="auto"/>
              <w:left w:val="single" w:sz="6" w:space="0" w:color="auto"/>
              <w:bottom w:val="single" w:sz="12" w:space="0" w:color="auto"/>
              <w:right w:val="single" w:sz="6" w:space="0" w:color="auto"/>
            </w:tcBorders>
            <w:shd w:val="clear" w:color="000000" w:fill="31849B" w:themeFill="accent5" w:themeFillShade="BF"/>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813" w:type="pct"/>
            <w:tcBorders>
              <w:top w:val="single" w:sz="6" w:space="0" w:color="auto"/>
              <w:left w:val="single" w:sz="6" w:space="0" w:color="auto"/>
              <w:bottom w:val="single" w:sz="12" w:space="0" w:color="auto"/>
              <w:right w:val="single" w:sz="12" w:space="0" w:color="auto"/>
            </w:tcBorders>
            <w:shd w:val="clear" w:color="000000" w:fill="31849B" w:themeFill="accent5" w:themeFillShade="BF"/>
            <w:noWrap/>
            <w:vAlign w:val="center"/>
            <w:hideMark/>
          </w:tcPr>
          <w:p w:rsidR="001F5EED" w:rsidRPr="00B87A7F"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bl>
    <w:p w:rsidR="001F5EED" w:rsidRDefault="001F5EED" w:rsidP="001F5EED">
      <w:pPr>
        <w:pStyle w:val="Heading2"/>
        <w:jc w:val="left"/>
      </w:pPr>
      <w:r w:rsidRPr="00B87A7F">
        <w:lastRenderedPageBreak/>
        <w:t xml:space="preserve">Summary of </w:t>
      </w:r>
      <w:r>
        <w:t xml:space="preserve">revenue financed </w:t>
      </w:r>
      <w:r w:rsidRPr="00B87A7F">
        <w:t>capital costs and funding requirements</w:t>
      </w:r>
    </w:p>
    <w:p w:rsidR="001F5EED" w:rsidRPr="00B87A7F" w:rsidRDefault="001F5EED" w:rsidP="001F5EED">
      <w:pPr>
        <w:pStyle w:val="StandardParagraph"/>
      </w:pPr>
      <w:r>
        <w:rPr>
          <w:szCs w:val="24"/>
        </w:rPr>
        <w:t>The following table is a standard t</w:t>
      </w:r>
      <w:r w:rsidRPr="00515AF9">
        <w:rPr>
          <w:szCs w:val="24"/>
        </w:rPr>
        <w:t>emplate</w:t>
      </w:r>
      <w:r>
        <w:rPr>
          <w:szCs w:val="24"/>
        </w:rPr>
        <w:t xml:space="preserve"> for</w:t>
      </w:r>
      <w:r w:rsidRPr="00515AF9">
        <w:rPr>
          <w:szCs w:val="24"/>
        </w:rPr>
        <w:t xml:space="preserve"> present</w:t>
      </w:r>
      <w:r>
        <w:rPr>
          <w:szCs w:val="24"/>
        </w:rPr>
        <w:t>ing</w:t>
      </w:r>
      <w:r w:rsidRPr="00515AF9">
        <w:rPr>
          <w:szCs w:val="24"/>
        </w:rPr>
        <w:t xml:space="preserve"> </w:t>
      </w:r>
      <w:r>
        <w:rPr>
          <w:szCs w:val="24"/>
        </w:rPr>
        <w:t xml:space="preserve">in a clear, consistent and concise manner, </w:t>
      </w:r>
      <w:r w:rsidRPr="00515AF9">
        <w:rPr>
          <w:szCs w:val="24"/>
        </w:rPr>
        <w:t xml:space="preserve">the capital financials </w:t>
      </w:r>
      <w:r>
        <w:rPr>
          <w:szCs w:val="24"/>
        </w:rPr>
        <w:t xml:space="preserve">for </w:t>
      </w:r>
      <w:r w:rsidRPr="00515AF9">
        <w:rPr>
          <w:szCs w:val="24"/>
        </w:rPr>
        <w:t xml:space="preserve">a </w:t>
      </w:r>
      <w:r>
        <w:rPr>
          <w:szCs w:val="24"/>
        </w:rPr>
        <w:t xml:space="preserve">revenue financed </w:t>
      </w:r>
      <w:r w:rsidR="001B021C">
        <w:rPr>
          <w:szCs w:val="24"/>
        </w:rPr>
        <w:t xml:space="preserve">building </w:t>
      </w:r>
      <w:r w:rsidRPr="00515AF9">
        <w:rPr>
          <w:szCs w:val="24"/>
        </w:rPr>
        <w:t>project</w:t>
      </w:r>
      <w:r>
        <w:rPr>
          <w:szCs w:val="24"/>
        </w:rPr>
        <w:t xml:space="preserve">.  </w:t>
      </w:r>
      <w:r>
        <w:t>This will need to be accompanied with detailed narrative</w:t>
      </w:r>
      <w:r w:rsidR="001B021C">
        <w:t xml:space="preserve"> and Construction Cost Plan </w:t>
      </w:r>
      <w:r>
        <w:t>explaining how these costs have been calculated, any key assumptions behind them, and an explanation of any significant differences between options.</w:t>
      </w:r>
    </w:p>
    <w:tbl>
      <w:tblPr>
        <w:tblW w:w="5267"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3519"/>
        <w:gridCol w:w="1021"/>
        <w:gridCol w:w="1049"/>
        <w:gridCol w:w="1037"/>
        <w:gridCol w:w="1062"/>
        <w:gridCol w:w="1041"/>
        <w:gridCol w:w="1053"/>
      </w:tblGrid>
      <w:tr w:rsidR="001F5EED" w:rsidRPr="001C0898" w:rsidTr="001B021C">
        <w:trPr>
          <w:trHeight w:val="400"/>
        </w:trPr>
        <w:tc>
          <w:tcPr>
            <w:tcW w:w="1799" w:type="pct"/>
            <w:vMerge w:val="restart"/>
            <w:shd w:val="clear" w:color="auto" w:fill="31849B" w:themeFill="accent5" w:themeFillShade="BF"/>
            <w:noWrap/>
            <w:vAlign w:val="center"/>
            <w:hideMark/>
          </w:tcPr>
          <w:p w:rsidR="001F5EED" w:rsidRPr="001C0898" w:rsidRDefault="001F5EED" w:rsidP="001F5EED">
            <w:pPr>
              <w:spacing w:line="240" w:lineRule="auto"/>
              <w:jc w:val="center"/>
              <w:rPr>
                <w:rFonts w:cs="Arial"/>
                <w:b/>
                <w:bCs/>
                <w:color w:val="000000"/>
                <w:sz w:val="16"/>
                <w:szCs w:val="16"/>
                <w:lang w:eastAsia="en-GB"/>
              </w:rPr>
            </w:pPr>
            <w:r w:rsidRPr="001C0898">
              <w:rPr>
                <w:rFonts w:cs="Arial"/>
                <w:b/>
                <w:bCs/>
                <w:color w:val="000000"/>
                <w:sz w:val="16"/>
                <w:szCs w:val="16"/>
                <w:lang w:eastAsia="en-GB"/>
              </w:rPr>
              <w:t>Capital Cost</w:t>
            </w:r>
          </w:p>
        </w:tc>
        <w:tc>
          <w:tcPr>
            <w:tcW w:w="522" w:type="pct"/>
            <w:vMerge w:val="restart"/>
            <w:shd w:val="clear" w:color="auto" w:fill="31849B" w:themeFill="accent5" w:themeFillShade="BF"/>
            <w:noWrap/>
            <w:vAlign w:val="center"/>
            <w:hideMark/>
          </w:tcPr>
          <w:p w:rsidR="001F5EED" w:rsidRPr="001C0898" w:rsidRDefault="001F5EED" w:rsidP="001F5EED">
            <w:pPr>
              <w:spacing w:line="240" w:lineRule="auto"/>
              <w:jc w:val="center"/>
              <w:rPr>
                <w:rFonts w:cs="Arial"/>
                <w:b/>
                <w:color w:val="000000"/>
                <w:sz w:val="16"/>
                <w:szCs w:val="16"/>
                <w:lang w:eastAsia="en-GB"/>
              </w:rPr>
            </w:pPr>
            <w:r w:rsidRPr="001C0898">
              <w:rPr>
                <w:rFonts w:cs="Arial"/>
                <w:b/>
                <w:color w:val="000000"/>
                <w:sz w:val="16"/>
                <w:szCs w:val="16"/>
                <w:lang w:eastAsia="en-GB"/>
              </w:rPr>
              <w:t>Total</w:t>
            </w:r>
            <w:r w:rsidRPr="001C0898">
              <w:rPr>
                <w:rFonts w:cs="Arial"/>
                <w:b/>
                <w:color w:val="000000"/>
                <w:sz w:val="16"/>
                <w:szCs w:val="16"/>
                <w:lang w:eastAsia="en-GB"/>
              </w:rPr>
              <w:br/>
              <w:t>£000s</w:t>
            </w:r>
          </w:p>
        </w:tc>
        <w:tc>
          <w:tcPr>
            <w:tcW w:w="1609" w:type="pct"/>
            <w:gridSpan w:val="3"/>
            <w:shd w:val="clear" w:color="auto"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b/>
                <w:color w:val="000000"/>
                <w:sz w:val="16"/>
                <w:szCs w:val="16"/>
                <w:lang w:eastAsia="en-GB"/>
              </w:rPr>
            </w:pPr>
            <w:r w:rsidRPr="001C0898">
              <w:rPr>
                <w:rFonts w:cs="Arial"/>
                <w:b/>
                <w:color w:val="000000"/>
                <w:sz w:val="16"/>
                <w:szCs w:val="16"/>
                <w:lang w:eastAsia="en-GB"/>
              </w:rPr>
              <w:t>Funding</w:t>
            </w:r>
          </w:p>
        </w:tc>
        <w:tc>
          <w:tcPr>
            <w:tcW w:w="1070" w:type="pct"/>
            <w:gridSpan w:val="2"/>
            <w:shd w:val="clear" w:color="auto" w:fill="31849B" w:themeFill="accent5" w:themeFillShade="BF"/>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b/>
                <w:color w:val="000000"/>
                <w:sz w:val="16"/>
                <w:szCs w:val="16"/>
                <w:lang w:eastAsia="en-GB"/>
              </w:rPr>
            </w:pPr>
            <w:r w:rsidRPr="001C0898">
              <w:rPr>
                <w:rFonts w:cs="Arial"/>
                <w:b/>
                <w:color w:val="000000"/>
                <w:sz w:val="16"/>
                <w:szCs w:val="16"/>
                <w:lang w:eastAsia="en-GB"/>
              </w:rPr>
              <w:t>Change to OBC</w:t>
            </w:r>
            <w:r w:rsidRPr="001C0898">
              <w:rPr>
                <w:rFonts w:cs="Arial"/>
                <w:b/>
                <w:color w:val="000000"/>
                <w:sz w:val="16"/>
                <w:szCs w:val="16"/>
                <w:lang w:eastAsia="en-GB"/>
              </w:rPr>
              <w:br/>
              <w:t>(</w:t>
            </w:r>
            <w:r w:rsidRPr="001C0898">
              <w:rPr>
                <w:rFonts w:cs="Arial"/>
                <w:b/>
                <w:i/>
                <w:iCs/>
                <w:color w:val="000000"/>
                <w:sz w:val="16"/>
                <w:szCs w:val="16"/>
                <w:lang w:eastAsia="en-GB"/>
              </w:rPr>
              <w:t>FBC only</w:t>
            </w:r>
            <w:r w:rsidRPr="001C0898">
              <w:rPr>
                <w:rFonts w:cs="Arial"/>
                <w:b/>
                <w:color w:val="000000"/>
                <w:sz w:val="16"/>
                <w:szCs w:val="16"/>
                <w:lang w:eastAsia="en-GB"/>
              </w:rPr>
              <w:t>)</w:t>
            </w:r>
          </w:p>
        </w:tc>
      </w:tr>
      <w:tr w:rsidR="001F5EED" w:rsidRPr="001C0898" w:rsidTr="001B021C">
        <w:trPr>
          <w:trHeight w:val="849"/>
        </w:trPr>
        <w:tc>
          <w:tcPr>
            <w:tcW w:w="1799" w:type="pct"/>
            <w:vMerge/>
            <w:shd w:val="clear" w:color="auto" w:fill="31849B" w:themeFill="accent5" w:themeFillShade="BF"/>
            <w:noWrap/>
            <w:vAlign w:val="bottom"/>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b/>
                <w:bCs/>
                <w:color w:val="000000"/>
                <w:sz w:val="16"/>
                <w:szCs w:val="16"/>
                <w:lang w:eastAsia="en-GB"/>
              </w:rPr>
            </w:pPr>
          </w:p>
        </w:tc>
        <w:tc>
          <w:tcPr>
            <w:tcW w:w="522" w:type="pct"/>
            <w:vMerge/>
            <w:shd w:val="clear" w:color="auto" w:fill="31849B" w:themeFill="accent5" w:themeFillShade="BF"/>
            <w:vAlign w:val="bottom"/>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shd w:val="clear" w:color="auto" w:fill="31849B" w:themeFill="accent5" w:themeFillShade="BF"/>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r w:rsidRPr="001C0898">
              <w:rPr>
                <w:rFonts w:cs="Arial"/>
                <w:color w:val="000000"/>
                <w:sz w:val="16"/>
                <w:szCs w:val="16"/>
                <w:lang w:eastAsia="en-GB"/>
              </w:rPr>
              <w:t>Existing Resources</w:t>
            </w:r>
            <w:r w:rsidRPr="001C0898">
              <w:rPr>
                <w:rFonts w:cs="Arial"/>
                <w:color w:val="000000"/>
                <w:sz w:val="16"/>
                <w:szCs w:val="16"/>
                <w:lang w:eastAsia="en-GB"/>
              </w:rPr>
              <w:br/>
              <w:t>£000s</w:t>
            </w:r>
          </w:p>
        </w:tc>
        <w:tc>
          <w:tcPr>
            <w:tcW w:w="530" w:type="pct"/>
            <w:shd w:val="clear" w:color="auto" w:fill="31849B" w:themeFill="accent5" w:themeFillShade="BF"/>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r w:rsidRPr="001C0898">
              <w:rPr>
                <w:rFonts w:cs="Arial"/>
                <w:color w:val="000000"/>
                <w:sz w:val="16"/>
                <w:szCs w:val="16"/>
                <w:lang w:eastAsia="en-GB"/>
              </w:rPr>
              <w:t>Partner contributions</w:t>
            </w:r>
            <w:r w:rsidRPr="001C0898">
              <w:rPr>
                <w:rFonts w:cs="Arial"/>
                <w:color w:val="000000"/>
                <w:sz w:val="16"/>
                <w:szCs w:val="16"/>
                <w:lang w:eastAsia="en-GB"/>
              </w:rPr>
              <w:br/>
              <w:t>£000s</w:t>
            </w:r>
          </w:p>
        </w:tc>
        <w:tc>
          <w:tcPr>
            <w:tcW w:w="543" w:type="pct"/>
            <w:shd w:val="clear" w:color="auto" w:fill="31849B" w:themeFill="accent5" w:themeFillShade="BF"/>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r w:rsidRPr="001C0898">
              <w:rPr>
                <w:rFonts w:cs="Arial"/>
                <w:color w:val="000000"/>
                <w:sz w:val="16"/>
                <w:szCs w:val="16"/>
                <w:lang w:eastAsia="en-GB"/>
              </w:rPr>
              <w:t xml:space="preserve">SG Additional Funding </w:t>
            </w:r>
            <w:proofErr w:type="spellStart"/>
            <w:r w:rsidRPr="001C0898">
              <w:rPr>
                <w:rFonts w:cs="Arial"/>
                <w:color w:val="000000"/>
                <w:sz w:val="16"/>
                <w:szCs w:val="16"/>
                <w:lang w:eastAsia="en-GB"/>
              </w:rPr>
              <w:t>Requiremnt</w:t>
            </w:r>
            <w:proofErr w:type="spellEnd"/>
            <w:r w:rsidRPr="001C0898">
              <w:rPr>
                <w:rFonts w:cs="Arial"/>
                <w:color w:val="000000"/>
                <w:sz w:val="16"/>
                <w:szCs w:val="16"/>
                <w:lang w:eastAsia="en-GB"/>
              </w:rPr>
              <w:br/>
              <w:t>£000s</w:t>
            </w:r>
          </w:p>
        </w:tc>
        <w:tc>
          <w:tcPr>
            <w:tcW w:w="532" w:type="pct"/>
            <w:shd w:val="clear" w:color="auto" w:fill="31849B" w:themeFill="accent5" w:themeFillShade="BF"/>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r w:rsidRPr="001C0898">
              <w:rPr>
                <w:rFonts w:cs="Arial"/>
                <w:color w:val="000000"/>
                <w:sz w:val="16"/>
                <w:szCs w:val="16"/>
                <w:lang w:eastAsia="en-GB"/>
              </w:rPr>
              <w:t>Total at OBC</w:t>
            </w:r>
            <w:r w:rsidRPr="001C0898">
              <w:rPr>
                <w:rFonts w:cs="Arial"/>
                <w:color w:val="000000"/>
                <w:sz w:val="16"/>
                <w:szCs w:val="16"/>
                <w:lang w:eastAsia="en-GB"/>
              </w:rPr>
              <w:br/>
              <w:t>£000s</w:t>
            </w:r>
          </w:p>
        </w:tc>
        <w:tc>
          <w:tcPr>
            <w:tcW w:w="538" w:type="pct"/>
            <w:shd w:val="clear" w:color="auto" w:fill="31849B" w:themeFill="accent5" w:themeFillShade="BF"/>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r w:rsidRPr="001C0898">
              <w:rPr>
                <w:rFonts w:cs="Arial"/>
                <w:color w:val="000000"/>
                <w:sz w:val="16"/>
                <w:szCs w:val="16"/>
                <w:lang w:eastAsia="en-GB"/>
              </w:rPr>
              <w:t>Movement from OBC</w:t>
            </w:r>
            <w:r w:rsidRPr="001C0898">
              <w:rPr>
                <w:rFonts w:cs="Arial"/>
                <w:color w:val="000000"/>
                <w:sz w:val="16"/>
                <w:szCs w:val="16"/>
                <w:lang w:eastAsia="en-GB"/>
              </w:rPr>
              <w:br/>
              <w:t>£000s</w:t>
            </w:r>
          </w:p>
        </w:tc>
      </w:tr>
      <w:tr w:rsidR="001F5EED" w:rsidRPr="001C0898" w:rsidTr="001F5EED">
        <w:trPr>
          <w:trHeight w:val="255"/>
        </w:trPr>
        <w:tc>
          <w:tcPr>
            <w:tcW w:w="1799"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1C0898">
              <w:rPr>
                <w:rFonts w:cs="Arial"/>
                <w:color w:val="000000"/>
                <w:sz w:val="16"/>
                <w:szCs w:val="16"/>
                <w:lang w:eastAsia="en-GB"/>
              </w:rPr>
              <w:t>Building &amp; Engineering works</w:t>
            </w:r>
          </w:p>
        </w:tc>
        <w:tc>
          <w:tcPr>
            <w:tcW w:w="522"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3"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8"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1C0898" w:rsidTr="001F5EED">
        <w:trPr>
          <w:trHeight w:val="255"/>
        </w:trPr>
        <w:tc>
          <w:tcPr>
            <w:tcW w:w="1799"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1C0898">
              <w:rPr>
                <w:rFonts w:cs="Arial"/>
                <w:color w:val="000000"/>
                <w:sz w:val="16"/>
                <w:szCs w:val="16"/>
                <w:lang w:eastAsia="en-GB"/>
              </w:rPr>
              <w:t>Location adjustment</w:t>
            </w:r>
          </w:p>
        </w:tc>
        <w:tc>
          <w:tcPr>
            <w:tcW w:w="522"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3"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8"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1C0898" w:rsidTr="001F5EED">
        <w:trPr>
          <w:trHeight w:val="255"/>
        </w:trPr>
        <w:tc>
          <w:tcPr>
            <w:tcW w:w="1799"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1C0898">
              <w:rPr>
                <w:rFonts w:cs="Arial"/>
                <w:color w:val="000000"/>
                <w:sz w:val="16"/>
                <w:szCs w:val="16"/>
                <w:lang w:eastAsia="en-GB"/>
              </w:rPr>
              <w:t>Quantified Construction Risk</w:t>
            </w:r>
          </w:p>
        </w:tc>
        <w:tc>
          <w:tcPr>
            <w:tcW w:w="522"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3"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8"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1C0898" w:rsidTr="001F5EED">
        <w:trPr>
          <w:trHeight w:val="255"/>
        </w:trPr>
        <w:tc>
          <w:tcPr>
            <w:tcW w:w="1799"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i/>
                <w:iCs/>
                <w:color w:val="000000"/>
                <w:sz w:val="16"/>
                <w:szCs w:val="16"/>
                <w:lang w:eastAsia="en-GB"/>
              </w:rPr>
            </w:pPr>
            <w:r w:rsidRPr="001C0898">
              <w:rPr>
                <w:rFonts w:cs="Arial"/>
                <w:i/>
                <w:iCs/>
                <w:color w:val="000000"/>
                <w:sz w:val="16"/>
                <w:szCs w:val="16"/>
                <w:lang w:eastAsia="en-GB"/>
              </w:rPr>
              <w:t>Additional itemised costs</w:t>
            </w:r>
          </w:p>
        </w:tc>
        <w:tc>
          <w:tcPr>
            <w:tcW w:w="522"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3"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8"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1C0898" w:rsidTr="001F5EED">
        <w:trPr>
          <w:trHeight w:val="255"/>
        </w:trPr>
        <w:tc>
          <w:tcPr>
            <w:tcW w:w="1799"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b/>
                <w:bCs/>
                <w:color w:val="000000"/>
                <w:sz w:val="16"/>
                <w:szCs w:val="16"/>
                <w:lang w:eastAsia="en-GB"/>
              </w:rPr>
            </w:pPr>
            <w:r w:rsidRPr="001C0898">
              <w:rPr>
                <w:rFonts w:cs="Arial"/>
                <w:b/>
                <w:bCs/>
                <w:color w:val="000000"/>
                <w:sz w:val="16"/>
                <w:szCs w:val="16"/>
                <w:lang w:eastAsia="en-GB"/>
              </w:rPr>
              <w:t>Total Construction costs</w:t>
            </w:r>
          </w:p>
        </w:tc>
        <w:tc>
          <w:tcPr>
            <w:tcW w:w="522"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3"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8"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1C0898" w:rsidTr="001F5EED">
        <w:trPr>
          <w:trHeight w:val="255"/>
        </w:trPr>
        <w:tc>
          <w:tcPr>
            <w:tcW w:w="1799" w:type="pct"/>
            <w:tcBorders>
              <w:top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1C0898">
              <w:rPr>
                <w:rFonts w:cs="Arial"/>
                <w:color w:val="000000"/>
                <w:sz w:val="16"/>
                <w:szCs w:val="16"/>
                <w:lang w:eastAsia="en-GB"/>
              </w:rPr>
              <w:t>Site acquisition</w:t>
            </w:r>
          </w:p>
        </w:tc>
        <w:tc>
          <w:tcPr>
            <w:tcW w:w="522" w:type="pct"/>
            <w:tcBorders>
              <w:top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tcBorders>
              <w:top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3" w:type="pct"/>
            <w:tcBorders>
              <w:top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8" w:type="pct"/>
            <w:tcBorders>
              <w:top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1C0898" w:rsidTr="001F5EED">
        <w:trPr>
          <w:trHeight w:val="255"/>
        </w:trPr>
        <w:tc>
          <w:tcPr>
            <w:tcW w:w="1799"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1C0898">
              <w:rPr>
                <w:rFonts w:cs="Arial"/>
                <w:color w:val="000000"/>
                <w:sz w:val="16"/>
                <w:szCs w:val="16"/>
                <w:lang w:eastAsia="en-GB"/>
              </w:rPr>
              <w:t>Other enabling works</w:t>
            </w:r>
          </w:p>
        </w:tc>
        <w:tc>
          <w:tcPr>
            <w:tcW w:w="522"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3"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8"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1C0898" w:rsidTr="001F5EED">
        <w:trPr>
          <w:trHeight w:val="255"/>
        </w:trPr>
        <w:tc>
          <w:tcPr>
            <w:tcW w:w="1799"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i/>
                <w:iCs/>
                <w:color w:val="000000"/>
                <w:sz w:val="16"/>
                <w:szCs w:val="16"/>
                <w:lang w:eastAsia="en-GB"/>
              </w:rPr>
            </w:pPr>
            <w:r w:rsidRPr="001C0898">
              <w:rPr>
                <w:rFonts w:cs="Arial"/>
                <w:i/>
                <w:iCs/>
                <w:color w:val="000000"/>
                <w:sz w:val="16"/>
                <w:szCs w:val="16"/>
                <w:lang w:eastAsia="en-GB"/>
              </w:rPr>
              <w:t>Additional itemised costs</w:t>
            </w:r>
          </w:p>
        </w:tc>
        <w:tc>
          <w:tcPr>
            <w:tcW w:w="522"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3"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8"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1C0898" w:rsidTr="001F5EED">
        <w:trPr>
          <w:trHeight w:val="255"/>
        </w:trPr>
        <w:tc>
          <w:tcPr>
            <w:tcW w:w="1799"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b/>
                <w:bCs/>
                <w:color w:val="000000"/>
                <w:sz w:val="16"/>
                <w:szCs w:val="16"/>
                <w:lang w:eastAsia="en-GB"/>
              </w:rPr>
            </w:pPr>
            <w:r w:rsidRPr="001C0898">
              <w:rPr>
                <w:rFonts w:cs="Arial"/>
                <w:b/>
                <w:bCs/>
                <w:color w:val="000000"/>
                <w:sz w:val="16"/>
                <w:szCs w:val="16"/>
                <w:lang w:eastAsia="en-GB"/>
              </w:rPr>
              <w:t>Total other construction related costs</w:t>
            </w:r>
          </w:p>
        </w:tc>
        <w:tc>
          <w:tcPr>
            <w:tcW w:w="522"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3"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8"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1C0898" w:rsidTr="001F5EED">
        <w:trPr>
          <w:trHeight w:val="255"/>
        </w:trPr>
        <w:tc>
          <w:tcPr>
            <w:tcW w:w="1799" w:type="pct"/>
            <w:tcBorders>
              <w:top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1C0898">
              <w:rPr>
                <w:rFonts w:cs="Arial"/>
                <w:color w:val="000000"/>
                <w:sz w:val="16"/>
                <w:szCs w:val="16"/>
                <w:lang w:eastAsia="en-GB"/>
              </w:rPr>
              <w:t>Furniture</w:t>
            </w:r>
          </w:p>
        </w:tc>
        <w:tc>
          <w:tcPr>
            <w:tcW w:w="522" w:type="pct"/>
            <w:tcBorders>
              <w:top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tcBorders>
              <w:top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3" w:type="pct"/>
            <w:tcBorders>
              <w:top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8" w:type="pct"/>
            <w:tcBorders>
              <w:top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1C0898" w:rsidTr="001F5EED">
        <w:trPr>
          <w:trHeight w:val="255"/>
        </w:trPr>
        <w:tc>
          <w:tcPr>
            <w:tcW w:w="1799"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1C0898">
              <w:rPr>
                <w:rFonts w:cs="Arial"/>
                <w:color w:val="000000"/>
                <w:sz w:val="16"/>
                <w:szCs w:val="16"/>
                <w:lang w:eastAsia="en-GB"/>
              </w:rPr>
              <w:t>IT</w:t>
            </w:r>
          </w:p>
        </w:tc>
        <w:tc>
          <w:tcPr>
            <w:tcW w:w="522"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3"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8"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1C0898" w:rsidTr="001F5EED">
        <w:trPr>
          <w:trHeight w:val="255"/>
        </w:trPr>
        <w:tc>
          <w:tcPr>
            <w:tcW w:w="1799"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1C0898">
              <w:rPr>
                <w:rFonts w:cs="Arial"/>
                <w:color w:val="000000"/>
                <w:sz w:val="16"/>
                <w:szCs w:val="16"/>
                <w:lang w:eastAsia="en-GB"/>
              </w:rPr>
              <w:t>Medical Equipment</w:t>
            </w:r>
          </w:p>
        </w:tc>
        <w:tc>
          <w:tcPr>
            <w:tcW w:w="522"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3"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8" w:type="pct"/>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1C0898" w:rsidTr="001F5EED">
        <w:trPr>
          <w:trHeight w:val="255"/>
        </w:trPr>
        <w:tc>
          <w:tcPr>
            <w:tcW w:w="1799"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i/>
                <w:iCs/>
                <w:color w:val="000000"/>
                <w:sz w:val="16"/>
                <w:szCs w:val="16"/>
                <w:lang w:eastAsia="en-GB"/>
              </w:rPr>
            </w:pPr>
            <w:r w:rsidRPr="001C0898">
              <w:rPr>
                <w:rFonts w:cs="Arial"/>
                <w:i/>
                <w:iCs/>
                <w:color w:val="000000"/>
                <w:sz w:val="16"/>
                <w:szCs w:val="16"/>
                <w:lang w:eastAsia="en-GB"/>
              </w:rPr>
              <w:t>Additional itemised costs</w:t>
            </w:r>
          </w:p>
        </w:tc>
        <w:tc>
          <w:tcPr>
            <w:tcW w:w="522"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3"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8"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1C0898" w:rsidTr="001F5EED">
        <w:trPr>
          <w:trHeight w:val="255"/>
        </w:trPr>
        <w:tc>
          <w:tcPr>
            <w:tcW w:w="1799"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b/>
                <w:bCs/>
                <w:color w:val="000000"/>
                <w:sz w:val="16"/>
                <w:szCs w:val="16"/>
                <w:lang w:eastAsia="en-GB"/>
              </w:rPr>
            </w:pPr>
            <w:r w:rsidRPr="001C0898">
              <w:rPr>
                <w:rFonts w:cs="Arial"/>
                <w:b/>
                <w:bCs/>
                <w:color w:val="000000"/>
                <w:sz w:val="16"/>
                <w:szCs w:val="16"/>
                <w:lang w:eastAsia="en-GB"/>
              </w:rPr>
              <w:t>Total furniture and equipment</w:t>
            </w:r>
          </w:p>
        </w:tc>
        <w:tc>
          <w:tcPr>
            <w:tcW w:w="522"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3"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8"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1C0898" w:rsidTr="001F5EED">
        <w:trPr>
          <w:trHeight w:val="255"/>
        </w:trPr>
        <w:tc>
          <w:tcPr>
            <w:tcW w:w="1799" w:type="pct"/>
            <w:tcBorders>
              <w:top w:val="single" w:sz="6" w:space="0" w:color="auto"/>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1C0898">
              <w:rPr>
                <w:rFonts w:cs="Arial"/>
                <w:color w:val="000000"/>
                <w:sz w:val="16"/>
                <w:szCs w:val="16"/>
                <w:lang w:eastAsia="en-GB"/>
              </w:rPr>
              <w:t>Additional Quantified Risk</w:t>
            </w:r>
          </w:p>
        </w:tc>
        <w:tc>
          <w:tcPr>
            <w:tcW w:w="522" w:type="pct"/>
            <w:tcBorders>
              <w:top w:val="single" w:sz="6" w:space="0" w:color="auto"/>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tcBorders>
              <w:top w:val="single" w:sz="6" w:space="0" w:color="auto"/>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3" w:type="pct"/>
            <w:tcBorders>
              <w:top w:val="single" w:sz="6" w:space="0" w:color="auto"/>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8" w:type="pct"/>
            <w:tcBorders>
              <w:top w:val="single" w:sz="6" w:space="0" w:color="auto"/>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1C0898" w:rsidTr="001F5EED">
        <w:trPr>
          <w:trHeight w:val="255"/>
        </w:trPr>
        <w:tc>
          <w:tcPr>
            <w:tcW w:w="1799"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b/>
                <w:bCs/>
                <w:color w:val="000000"/>
                <w:sz w:val="16"/>
                <w:szCs w:val="16"/>
                <w:lang w:eastAsia="en-GB"/>
              </w:rPr>
            </w:pPr>
            <w:r w:rsidRPr="001C0898">
              <w:rPr>
                <w:rFonts w:cs="Arial"/>
                <w:b/>
                <w:bCs/>
                <w:color w:val="000000"/>
                <w:sz w:val="16"/>
                <w:szCs w:val="16"/>
                <w:lang w:eastAsia="en-GB"/>
              </w:rPr>
              <w:t>Total estimated cost before VAT and fees</w:t>
            </w:r>
          </w:p>
        </w:tc>
        <w:tc>
          <w:tcPr>
            <w:tcW w:w="522"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3"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8"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1C0898" w:rsidTr="001F5EED">
        <w:trPr>
          <w:trHeight w:val="270"/>
        </w:trPr>
        <w:tc>
          <w:tcPr>
            <w:tcW w:w="1799" w:type="pct"/>
            <w:tcBorders>
              <w:top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1C0898">
              <w:rPr>
                <w:rFonts w:cs="Arial"/>
                <w:color w:val="000000"/>
                <w:sz w:val="16"/>
                <w:szCs w:val="16"/>
                <w:lang w:eastAsia="en-GB"/>
              </w:rPr>
              <w:t>VAT</w:t>
            </w:r>
          </w:p>
        </w:tc>
        <w:tc>
          <w:tcPr>
            <w:tcW w:w="522" w:type="pct"/>
            <w:tcBorders>
              <w:top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tcBorders>
              <w:top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3" w:type="pct"/>
            <w:tcBorders>
              <w:top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8" w:type="pct"/>
            <w:tcBorders>
              <w:top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1C0898" w:rsidTr="001F5EED">
        <w:trPr>
          <w:trHeight w:val="255"/>
        </w:trPr>
        <w:tc>
          <w:tcPr>
            <w:tcW w:w="1799"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1C0898">
              <w:rPr>
                <w:rFonts w:cs="Arial"/>
                <w:color w:val="000000"/>
                <w:sz w:val="16"/>
                <w:szCs w:val="16"/>
                <w:lang w:eastAsia="en-GB"/>
              </w:rPr>
              <w:t>Professional Fees</w:t>
            </w:r>
          </w:p>
        </w:tc>
        <w:tc>
          <w:tcPr>
            <w:tcW w:w="522"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3"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8" w:type="pct"/>
            <w:tcBorders>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1C0898" w:rsidTr="001F5EED">
        <w:trPr>
          <w:trHeight w:val="510"/>
        </w:trPr>
        <w:tc>
          <w:tcPr>
            <w:tcW w:w="1799" w:type="pct"/>
            <w:tcBorders>
              <w:top w:val="single" w:sz="6" w:space="0" w:color="auto"/>
              <w:bottom w:val="single" w:sz="6" w:space="0" w:color="auto"/>
            </w:tcBorders>
            <w:shd w:val="clear" w:color="000000" w:fill="31849B" w:themeFill="accent5" w:themeFillShade="BF"/>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b/>
                <w:bCs/>
                <w:color w:val="000000"/>
                <w:sz w:val="16"/>
                <w:szCs w:val="16"/>
                <w:lang w:eastAsia="en-GB"/>
              </w:rPr>
            </w:pPr>
            <w:r w:rsidRPr="001C0898">
              <w:rPr>
                <w:rFonts w:cs="Arial"/>
                <w:b/>
                <w:bCs/>
                <w:color w:val="000000"/>
                <w:sz w:val="16"/>
                <w:szCs w:val="16"/>
                <w:lang w:eastAsia="en-GB"/>
              </w:rPr>
              <w:t>Total estimated cost including VAT and fees but before optimism bias</w:t>
            </w:r>
          </w:p>
        </w:tc>
        <w:tc>
          <w:tcPr>
            <w:tcW w:w="522"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3"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8"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1C0898" w:rsidTr="001F5EED">
        <w:trPr>
          <w:trHeight w:val="255"/>
        </w:trPr>
        <w:tc>
          <w:tcPr>
            <w:tcW w:w="1799" w:type="pct"/>
            <w:tcBorders>
              <w:top w:val="single" w:sz="6" w:space="0" w:color="auto"/>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1C0898">
              <w:rPr>
                <w:rFonts w:cs="Arial"/>
                <w:color w:val="000000"/>
                <w:sz w:val="16"/>
                <w:szCs w:val="16"/>
                <w:lang w:eastAsia="en-GB"/>
              </w:rPr>
              <w:t>Allowance for optimism bias</w:t>
            </w:r>
          </w:p>
        </w:tc>
        <w:tc>
          <w:tcPr>
            <w:tcW w:w="522" w:type="pct"/>
            <w:tcBorders>
              <w:top w:val="single" w:sz="6" w:space="0" w:color="auto"/>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tcBorders>
              <w:top w:val="single" w:sz="6" w:space="0" w:color="auto"/>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3" w:type="pct"/>
            <w:tcBorders>
              <w:top w:val="single" w:sz="6" w:space="0" w:color="auto"/>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8" w:type="pct"/>
            <w:tcBorders>
              <w:top w:val="single" w:sz="6" w:space="0" w:color="auto"/>
              <w:bottom w:val="single" w:sz="6" w:space="0" w:color="auto"/>
            </w:tcBorders>
            <w:shd w:val="clear" w:color="auto" w:fill="auto"/>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1C0898" w:rsidTr="001F5EED">
        <w:trPr>
          <w:trHeight w:val="270"/>
        </w:trPr>
        <w:tc>
          <w:tcPr>
            <w:tcW w:w="1799"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right"/>
              <w:textAlignment w:val="auto"/>
              <w:rPr>
                <w:rFonts w:cs="Arial"/>
                <w:b/>
                <w:bCs/>
                <w:color w:val="000000"/>
                <w:sz w:val="16"/>
                <w:szCs w:val="16"/>
                <w:lang w:eastAsia="en-GB"/>
              </w:rPr>
            </w:pPr>
            <w:r w:rsidRPr="001C0898">
              <w:rPr>
                <w:rFonts w:cs="Arial"/>
                <w:b/>
                <w:bCs/>
                <w:color w:val="000000"/>
                <w:sz w:val="16"/>
                <w:szCs w:val="16"/>
                <w:lang w:eastAsia="en-GB"/>
              </w:rPr>
              <w:t xml:space="preserve">Total </w:t>
            </w:r>
            <w:r>
              <w:rPr>
                <w:rFonts w:cs="Arial"/>
                <w:b/>
                <w:bCs/>
                <w:color w:val="000000"/>
                <w:sz w:val="16"/>
                <w:szCs w:val="16"/>
                <w:lang w:eastAsia="en-GB"/>
              </w:rPr>
              <w:t>Estimated C</w:t>
            </w:r>
            <w:r w:rsidRPr="001C0898">
              <w:rPr>
                <w:rFonts w:cs="Arial"/>
                <w:b/>
                <w:bCs/>
                <w:color w:val="000000"/>
                <w:sz w:val="16"/>
                <w:szCs w:val="16"/>
                <w:lang w:eastAsia="en-GB"/>
              </w:rPr>
              <w:t xml:space="preserve">ost </w:t>
            </w:r>
          </w:p>
        </w:tc>
        <w:tc>
          <w:tcPr>
            <w:tcW w:w="522"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6"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0"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43"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2"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c>
          <w:tcPr>
            <w:tcW w:w="538" w:type="pct"/>
            <w:tcBorders>
              <w:top w:val="single" w:sz="6" w:space="0" w:color="auto"/>
              <w:bottom w:val="single" w:sz="6" w:space="0" w:color="auto"/>
            </w:tcBorders>
            <w:shd w:val="clear" w:color="000000" w:fill="31849B" w:themeFill="accent5" w:themeFillShade="BF"/>
            <w:noWrap/>
            <w:vAlign w:val="center"/>
            <w:hideMark/>
          </w:tcPr>
          <w:p w:rsidR="001F5EED" w:rsidRPr="001C0898"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bl>
    <w:p w:rsidR="001F5EED" w:rsidRDefault="001F5EED" w:rsidP="001F5EED">
      <w:pPr>
        <w:pStyle w:val="NoSpacing"/>
      </w:pPr>
    </w:p>
    <w:tbl>
      <w:tblPr>
        <w:tblW w:w="5967" w:type="dxa"/>
        <w:tblInd w:w="95" w:type="dxa"/>
        <w:tblLook w:val="04A0"/>
      </w:tblPr>
      <w:tblGrid>
        <w:gridCol w:w="4549"/>
        <w:gridCol w:w="1418"/>
      </w:tblGrid>
      <w:tr w:rsidR="001F5EED" w:rsidRPr="00C51905" w:rsidTr="001F5EED">
        <w:trPr>
          <w:trHeight w:val="270"/>
        </w:trPr>
        <w:tc>
          <w:tcPr>
            <w:tcW w:w="4549" w:type="dxa"/>
            <w:tcBorders>
              <w:top w:val="nil"/>
              <w:left w:val="nil"/>
              <w:bottom w:val="single" w:sz="12" w:space="0" w:color="auto"/>
              <w:right w:val="nil"/>
            </w:tcBorders>
            <w:shd w:val="clear" w:color="auto" w:fill="auto"/>
            <w:noWrap/>
            <w:vAlign w:val="bottom"/>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b/>
                <w:bCs/>
                <w:color w:val="000000"/>
                <w:sz w:val="20"/>
                <w:lang w:eastAsia="en-GB"/>
              </w:rPr>
            </w:pPr>
            <w:r w:rsidRPr="00C51905">
              <w:rPr>
                <w:rFonts w:cs="Arial"/>
                <w:b/>
                <w:bCs/>
                <w:color w:val="000000"/>
                <w:sz w:val="20"/>
                <w:lang w:eastAsia="en-GB"/>
              </w:rPr>
              <w:t>Estimated Unitary Charge</w:t>
            </w:r>
          </w:p>
        </w:tc>
        <w:tc>
          <w:tcPr>
            <w:tcW w:w="1418" w:type="dxa"/>
            <w:tcBorders>
              <w:top w:val="nil"/>
              <w:left w:val="nil"/>
              <w:bottom w:val="single" w:sz="12" w:space="0" w:color="auto"/>
              <w:right w:val="nil"/>
            </w:tcBorders>
            <w:shd w:val="clear" w:color="auto" w:fill="auto"/>
            <w:noWrap/>
            <w:vAlign w:val="bottom"/>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p>
        </w:tc>
      </w:tr>
      <w:tr w:rsidR="001F5EED" w:rsidRPr="00C51905" w:rsidTr="001F5EED">
        <w:trPr>
          <w:trHeight w:val="255"/>
        </w:trPr>
        <w:tc>
          <w:tcPr>
            <w:tcW w:w="4549" w:type="dxa"/>
            <w:tcBorders>
              <w:top w:val="single" w:sz="12" w:space="0" w:color="auto"/>
              <w:left w:val="single" w:sz="12" w:space="0" w:color="auto"/>
              <w:bottom w:val="single" w:sz="6" w:space="0" w:color="auto"/>
              <w:right w:val="single" w:sz="6" w:space="0" w:color="auto"/>
            </w:tcBorders>
            <w:shd w:val="clear" w:color="000000" w:fill="31849B" w:themeFill="accent5" w:themeFillShade="BF"/>
            <w:noWrap/>
            <w:vAlign w:val="center"/>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C51905">
              <w:rPr>
                <w:rFonts w:cs="Arial"/>
                <w:color w:val="000000"/>
                <w:sz w:val="16"/>
                <w:szCs w:val="16"/>
                <w:lang w:eastAsia="en-GB"/>
              </w:rPr>
              <w:t> </w:t>
            </w:r>
          </w:p>
        </w:tc>
        <w:tc>
          <w:tcPr>
            <w:tcW w:w="1418" w:type="dxa"/>
            <w:tcBorders>
              <w:top w:val="single" w:sz="12" w:space="0" w:color="auto"/>
              <w:left w:val="single" w:sz="6" w:space="0" w:color="auto"/>
              <w:bottom w:val="single" w:sz="6" w:space="0" w:color="auto"/>
              <w:right w:val="single" w:sz="12" w:space="0" w:color="auto"/>
            </w:tcBorders>
            <w:shd w:val="clear" w:color="000000" w:fill="31849B" w:themeFill="accent5" w:themeFillShade="BF"/>
            <w:vAlign w:val="bottom"/>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r w:rsidRPr="00C51905">
              <w:rPr>
                <w:rFonts w:cs="Arial"/>
                <w:color w:val="000000"/>
                <w:sz w:val="16"/>
                <w:szCs w:val="16"/>
                <w:lang w:eastAsia="en-GB"/>
              </w:rPr>
              <w:t>£000s</w:t>
            </w:r>
          </w:p>
        </w:tc>
      </w:tr>
      <w:tr w:rsidR="001F5EED" w:rsidRPr="00C51905" w:rsidTr="001F5EED">
        <w:trPr>
          <w:trHeight w:val="255"/>
        </w:trPr>
        <w:tc>
          <w:tcPr>
            <w:tcW w:w="4549"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C51905">
              <w:rPr>
                <w:rFonts w:cs="Arial"/>
                <w:color w:val="000000"/>
                <w:sz w:val="16"/>
                <w:szCs w:val="16"/>
                <w:lang w:eastAsia="en-GB"/>
              </w:rPr>
              <w:t>Financing, repayment and SPV costs (100% SG funded)</w:t>
            </w:r>
          </w:p>
        </w:tc>
        <w:tc>
          <w:tcPr>
            <w:tcW w:w="1418"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C51905" w:rsidTr="001F5EED">
        <w:trPr>
          <w:trHeight w:val="255"/>
        </w:trPr>
        <w:tc>
          <w:tcPr>
            <w:tcW w:w="4549"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C51905">
              <w:rPr>
                <w:rFonts w:cs="Arial"/>
                <w:color w:val="000000"/>
                <w:sz w:val="16"/>
                <w:szCs w:val="16"/>
                <w:lang w:eastAsia="en-GB"/>
              </w:rPr>
              <w:t>Lifecycle costs (50% SG funded)</w:t>
            </w:r>
          </w:p>
        </w:tc>
        <w:tc>
          <w:tcPr>
            <w:tcW w:w="1418"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C51905" w:rsidTr="001F5EED">
        <w:trPr>
          <w:trHeight w:val="255"/>
        </w:trPr>
        <w:tc>
          <w:tcPr>
            <w:tcW w:w="4549"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C51905">
              <w:rPr>
                <w:rFonts w:cs="Arial"/>
                <w:color w:val="000000"/>
                <w:sz w:val="16"/>
                <w:szCs w:val="16"/>
                <w:lang w:eastAsia="en-GB"/>
              </w:rPr>
              <w:t>Hard FM costs (100% locally funded)</w:t>
            </w:r>
          </w:p>
        </w:tc>
        <w:tc>
          <w:tcPr>
            <w:tcW w:w="1418"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C51905" w:rsidTr="001F5EED">
        <w:trPr>
          <w:trHeight w:val="255"/>
        </w:trPr>
        <w:tc>
          <w:tcPr>
            <w:tcW w:w="4549"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C51905">
              <w:rPr>
                <w:rFonts w:cs="Arial"/>
                <w:color w:val="000000"/>
                <w:sz w:val="16"/>
                <w:szCs w:val="16"/>
                <w:lang w:eastAsia="en-GB"/>
              </w:rPr>
              <w:t xml:space="preserve">Other costs </w:t>
            </w:r>
          </w:p>
        </w:tc>
        <w:tc>
          <w:tcPr>
            <w:tcW w:w="1418" w:type="dxa"/>
            <w:tcBorders>
              <w:top w:val="single" w:sz="6" w:space="0" w:color="auto"/>
              <w:left w:val="single" w:sz="6" w:space="0" w:color="auto"/>
              <w:bottom w:val="single" w:sz="6" w:space="0" w:color="auto"/>
              <w:right w:val="single" w:sz="12" w:space="0" w:color="auto"/>
            </w:tcBorders>
            <w:shd w:val="clear" w:color="auto" w:fill="auto"/>
            <w:vAlign w:val="center"/>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C51905" w:rsidTr="001F5EED">
        <w:trPr>
          <w:trHeight w:val="270"/>
        </w:trPr>
        <w:tc>
          <w:tcPr>
            <w:tcW w:w="4549" w:type="dxa"/>
            <w:tcBorders>
              <w:top w:val="single" w:sz="6" w:space="0" w:color="auto"/>
              <w:left w:val="single" w:sz="12" w:space="0" w:color="auto"/>
              <w:bottom w:val="single" w:sz="6" w:space="0" w:color="auto"/>
              <w:right w:val="single" w:sz="6" w:space="0" w:color="auto"/>
            </w:tcBorders>
            <w:shd w:val="clear" w:color="000000" w:fill="31849B" w:themeFill="accent5" w:themeFillShade="BF"/>
            <w:noWrap/>
            <w:vAlign w:val="center"/>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b/>
                <w:bCs/>
                <w:color w:val="000000"/>
                <w:sz w:val="16"/>
                <w:szCs w:val="16"/>
                <w:lang w:eastAsia="en-GB"/>
              </w:rPr>
            </w:pPr>
            <w:r w:rsidRPr="00C51905">
              <w:rPr>
                <w:rFonts w:cs="Arial"/>
                <w:b/>
                <w:bCs/>
                <w:color w:val="000000"/>
                <w:sz w:val="16"/>
                <w:szCs w:val="16"/>
                <w:lang w:eastAsia="en-GB"/>
              </w:rPr>
              <w:t>Total estimated Unitary Charge</w:t>
            </w:r>
          </w:p>
        </w:tc>
        <w:tc>
          <w:tcPr>
            <w:tcW w:w="1418" w:type="dxa"/>
            <w:tcBorders>
              <w:top w:val="single" w:sz="6" w:space="0" w:color="auto"/>
              <w:left w:val="single" w:sz="6" w:space="0" w:color="auto"/>
              <w:bottom w:val="single" w:sz="6" w:space="0" w:color="auto"/>
              <w:right w:val="single" w:sz="12" w:space="0" w:color="auto"/>
            </w:tcBorders>
            <w:shd w:val="clear" w:color="000000" w:fill="31849B" w:themeFill="accent5" w:themeFillShade="BF"/>
            <w:vAlign w:val="center"/>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C51905" w:rsidTr="001F5EED">
        <w:trPr>
          <w:trHeight w:val="255"/>
        </w:trPr>
        <w:tc>
          <w:tcPr>
            <w:tcW w:w="4549"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C51905">
              <w:rPr>
                <w:rFonts w:cs="Arial"/>
                <w:color w:val="000000"/>
                <w:sz w:val="16"/>
                <w:szCs w:val="16"/>
                <w:lang w:eastAsia="en-GB"/>
              </w:rPr>
              <w:t>Scottish Government funding</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C51905" w:rsidTr="001F5EED">
        <w:trPr>
          <w:trHeight w:val="255"/>
        </w:trPr>
        <w:tc>
          <w:tcPr>
            <w:tcW w:w="4549"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C51905">
              <w:rPr>
                <w:rFonts w:cs="Arial"/>
                <w:color w:val="000000"/>
                <w:sz w:val="16"/>
                <w:szCs w:val="16"/>
                <w:lang w:eastAsia="en-GB"/>
              </w:rPr>
              <w:t>Local funding</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C51905" w:rsidTr="001F5EED">
        <w:trPr>
          <w:trHeight w:val="255"/>
        </w:trPr>
        <w:tc>
          <w:tcPr>
            <w:tcW w:w="4549" w:type="dxa"/>
            <w:tcBorders>
              <w:top w:val="single" w:sz="6" w:space="0" w:color="auto"/>
              <w:left w:val="single" w:sz="12" w:space="0" w:color="auto"/>
              <w:bottom w:val="single" w:sz="6" w:space="0" w:color="auto"/>
              <w:right w:val="single" w:sz="6" w:space="0" w:color="auto"/>
            </w:tcBorders>
            <w:shd w:val="clear" w:color="auto" w:fill="auto"/>
            <w:noWrap/>
            <w:vAlign w:val="center"/>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color w:val="000000"/>
                <w:sz w:val="16"/>
                <w:szCs w:val="16"/>
                <w:lang w:eastAsia="en-GB"/>
              </w:rPr>
            </w:pPr>
            <w:r w:rsidRPr="00C51905">
              <w:rPr>
                <w:rFonts w:cs="Arial"/>
                <w:color w:val="000000"/>
                <w:sz w:val="16"/>
                <w:szCs w:val="16"/>
                <w:lang w:eastAsia="en-GB"/>
              </w:rPr>
              <w:t>Contributions by partners</w:t>
            </w:r>
          </w:p>
        </w:tc>
        <w:tc>
          <w:tcPr>
            <w:tcW w:w="1418" w:type="dxa"/>
            <w:tcBorders>
              <w:top w:val="single" w:sz="6" w:space="0" w:color="auto"/>
              <w:left w:val="single" w:sz="6" w:space="0" w:color="auto"/>
              <w:bottom w:val="single" w:sz="6" w:space="0" w:color="auto"/>
              <w:right w:val="single" w:sz="12" w:space="0" w:color="auto"/>
            </w:tcBorders>
            <w:shd w:val="clear" w:color="auto" w:fill="auto"/>
            <w:noWrap/>
            <w:vAlign w:val="center"/>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r w:rsidR="001F5EED" w:rsidRPr="00C51905" w:rsidTr="001F5EED">
        <w:trPr>
          <w:trHeight w:val="270"/>
        </w:trPr>
        <w:tc>
          <w:tcPr>
            <w:tcW w:w="4549" w:type="dxa"/>
            <w:tcBorders>
              <w:top w:val="single" w:sz="6" w:space="0" w:color="auto"/>
              <w:left w:val="single" w:sz="12" w:space="0" w:color="auto"/>
              <w:bottom w:val="single" w:sz="12" w:space="0" w:color="auto"/>
              <w:right w:val="single" w:sz="6" w:space="0" w:color="auto"/>
            </w:tcBorders>
            <w:shd w:val="clear" w:color="000000" w:fill="31849B" w:themeFill="accent5" w:themeFillShade="BF"/>
            <w:noWrap/>
            <w:vAlign w:val="center"/>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left"/>
              <w:textAlignment w:val="auto"/>
              <w:rPr>
                <w:rFonts w:cs="Arial"/>
                <w:b/>
                <w:bCs/>
                <w:color w:val="000000"/>
                <w:sz w:val="16"/>
                <w:szCs w:val="16"/>
                <w:lang w:eastAsia="en-GB"/>
              </w:rPr>
            </w:pPr>
            <w:r w:rsidRPr="00C51905">
              <w:rPr>
                <w:rFonts w:cs="Arial"/>
                <w:b/>
                <w:bCs/>
                <w:color w:val="000000"/>
                <w:sz w:val="16"/>
                <w:szCs w:val="16"/>
                <w:lang w:eastAsia="en-GB"/>
              </w:rPr>
              <w:t>Total estimated Unitary Charge</w:t>
            </w:r>
          </w:p>
        </w:tc>
        <w:tc>
          <w:tcPr>
            <w:tcW w:w="1418" w:type="dxa"/>
            <w:tcBorders>
              <w:top w:val="single" w:sz="6" w:space="0" w:color="auto"/>
              <w:left w:val="single" w:sz="6" w:space="0" w:color="auto"/>
              <w:bottom w:val="single" w:sz="12" w:space="0" w:color="auto"/>
              <w:right w:val="single" w:sz="12" w:space="0" w:color="auto"/>
            </w:tcBorders>
            <w:shd w:val="clear" w:color="000000" w:fill="31849B" w:themeFill="accent5" w:themeFillShade="BF"/>
            <w:noWrap/>
            <w:vAlign w:val="center"/>
            <w:hideMark/>
          </w:tcPr>
          <w:p w:rsidR="001F5EED" w:rsidRPr="00C51905" w:rsidRDefault="001F5EED" w:rsidP="001F5EED">
            <w:pPr>
              <w:widowControl/>
              <w:tabs>
                <w:tab w:val="clear" w:pos="720"/>
                <w:tab w:val="clear" w:pos="1440"/>
                <w:tab w:val="clear" w:pos="2160"/>
                <w:tab w:val="clear" w:pos="2880"/>
                <w:tab w:val="clear" w:pos="4680"/>
                <w:tab w:val="clear" w:pos="5400"/>
                <w:tab w:val="clear" w:pos="9000"/>
              </w:tabs>
              <w:adjustRightInd/>
              <w:spacing w:line="240" w:lineRule="auto"/>
              <w:jc w:val="center"/>
              <w:textAlignment w:val="auto"/>
              <w:rPr>
                <w:rFonts w:cs="Arial"/>
                <w:color w:val="000000"/>
                <w:sz w:val="16"/>
                <w:szCs w:val="16"/>
                <w:lang w:eastAsia="en-GB"/>
              </w:rPr>
            </w:pPr>
          </w:p>
        </w:tc>
      </w:tr>
    </w:tbl>
    <w:p w:rsidR="001F5EED" w:rsidRPr="00515AF9" w:rsidRDefault="001F5EED" w:rsidP="001F5EED">
      <w:pPr>
        <w:pStyle w:val="StandardParagraph"/>
        <w:rPr>
          <w:szCs w:val="24"/>
        </w:rPr>
      </w:pPr>
      <w:r>
        <w:rPr>
          <w:szCs w:val="24"/>
        </w:rPr>
        <w:lastRenderedPageBreak/>
        <w:t xml:space="preserve">For </w:t>
      </w:r>
      <w:r w:rsidRPr="00515AF9">
        <w:rPr>
          <w:szCs w:val="24"/>
        </w:rPr>
        <w:t xml:space="preserve">revenue financed </w:t>
      </w:r>
      <w:r>
        <w:rPr>
          <w:szCs w:val="24"/>
        </w:rPr>
        <w:t xml:space="preserve">projects </w:t>
      </w:r>
      <w:r w:rsidR="001B021C">
        <w:rPr>
          <w:szCs w:val="24"/>
        </w:rPr>
        <w:t>(e.g.</w:t>
      </w:r>
      <w:r w:rsidRPr="00515AF9">
        <w:rPr>
          <w:szCs w:val="24"/>
        </w:rPr>
        <w:t xml:space="preserve"> hub DBFM)</w:t>
      </w:r>
      <w:r>
        <w:rPr>
          <w:szCs w:val="24"/>
        </w:rPr>
        <w:t>,</w:t>
      </w:r>
      <w:r w:rsidRPr="00515AF9">
        <w:rPr>
          <w:szCs w:val="24"/>
        </w:rPr>
        <w:t xml:space="preserve"> it is important to be clear on the implications of the project on the Board’s revenue and capital finances, as this will underpin the assessment of affordability. The capital costs of the revenue-financed assets will be reflected as part of the on-going service payment. However, it is important to also set out the total capital equivalent value of the project, including both the capital funded and revenue financed investment, as this will support an assessment of affordability in the context of the overall revenue financed programme. In addition, this presentation will assist with control of capital costs and give a transparent picture of the value of public investment in the project. The templates for revenue financed projects have been designed to ensure that </w:t>
      </w:r>
      <w:bookmarkStart w:id="10" w:name="_GoBack"/>
      <w:bookmarkEnd w:id="10"/>
      <w:r w:rsidRPr="00515AF9">
        <w:rPr>
          <w:szCs w:val="24"/>
        </w:rPr>
        <w:t>this full picture is captured.</w:t>
      </w:r>
    </w:p>
    <w:p w:rsidR="001F5EED" w:rsidRDefault="001F5EED" w:rsidP="001F5EED">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pPr>
      <w:r>
        <w:br w:type="page"/>
      </w:r>
    </w:p>
    <w:p w:rsidR="001F5EED" w:rsidRPr="008E7AEC" w:rsidRDefault="001F5EED" w:rsidP="001F5EED">
      <w:pPr>
        <w:pStyle w:val="Heading1"/>
      </w:pPr>
      <w:r>
        <w:lastRenderedPageBreak/>
        <w:t>Assessing A</w:t>
      </w:r>
      <w:r w:rsidRPr="00492B6C">
        <w:t>ffordability</w:t>
      </w:r>
    </w:p>
    <w:p w:rsidR="001F5EED" w:rsidRDefault="001F5EED" w:rsidP="001F5EED">
      <w:pPr>
        <w:pStyle w:val="Heading2"/>
        <w:jc w:val="left"/>
      </w:pPr>
      <w:r>
        <w:t>A Statement of Affordability</w:t>
      </w:r>
    </w:p>
    <w:p w:rsidR="001F5EED" w:rsidRDefault="001F5EED" w:rsidP="001F5EED">
      <w:pPr>
        <w:pStyle w:val="StandardParagraph"/>
      </w:pPr>
      <w:r>
        <w:t xml:space="preserve">The Financial Case should contain a clear statement on the affordability of the project, in revenue and capital terms, as well as detail to demonstrate how this assessment has been reached. </w:t>
      </w:r>
    </w:p>
    <w:p w:rsidR="001F5EED" w:rsidRPr="00D0670F" w:rsidRDefault="001F5EED" w:rsidP="001F5EED">
      <w:pPr>
        <w:pStyle w:val="StandardParagraph"/>
      </w:pPr>
      <w:r w:rsidRPr="00D0670F">
        <w:t>Assessing affordability requires sound judgment of the organisation’s business and requires that:</w:t>
      </w:r>
    </w:p>
    <w:p w:rsidR="001F5EED" w:rsidRPr="00D0670F" w:rsidRDefault="001F5EED" w:rsidP="001F5EED">
      <w:pPr>
        <w:pStyle w:val="StandardBullet0"/>
      </w:pPr>
      <w:r>
        <w:t>T</w:t>
      </w:r>
      <w:r w:rsidRPr="00D0670F">
        <w:t>he balance sheet has been correctly organised and properly accounts for</w:t>
      </w:r>
      <w:r>
        <w:t xml:space="preserve"> current and non-current assets and liabilities;</w:t>
      </w:r>
      <w:r w:rsidRPr="00D0670F" w:rsidDel="00F40198">
        <w:t xml:space="preserve"> </w:t>
      </w:r>
      <w:r>
        <w:t xml:space="preserve">and that </w:t>
      </w:r>
      <w:r w:rsidRPr="00D0670F">
        <w:t>the necessary allowance has been made for risks</w:t>
      </w:r>
      <w:r>
        <w:t xml:space="preserve"> including optimism bias.</w:t>
      </w:r>
    </w:p>
    <w:p w:rsidR="001F5EED" w:rsidRPr="00D0670F" w:rsidRDefault="001F5EED" w:rsidP="001F5EED">
      <w:pPr>
        <w:pStyle w:val="StandardBullet0"/>
      </w:pPr>
      <w:r>
        <w:t>T</w:t>
      </w:r>
      <w:r w:rsidRPr="00D0670F">
        <w:t xml:space="preserve">he financial consequences </w:t>
      </w:r>
      <w:r>
        <w:t xml:space="preserve">of the project can be met </w:t>
      </w:r>
      <w:r w:rsidRPr="00D0670F">
        <w:t>w</w:t>
      </w:r>
      <w:r>
        <w:t xml:space="preserve">ithin the Board’s agreed Financial Plans. </w:t>
      </w:r>
    </w:p>
    <w:p w:rsidR="001F5EED" w:rsidRPr="00D0670F" w:rsidRDefault="001F5EED" w:rsidP="001F5EED">
      <w:pPr>
        <w:pStyle w:val="StandardParagraph"/>
      </w:pPr>
      <w:r w:rsidRPr="00D0670F">
        <w:t>Various techniques can be used by public sector organisations to help judge affordability. The risks and uncertainties will vary from project to project, but some key questions to consider are:</w:t>
      </w:r>
    </w:p>
    <w:p w:rsidR="001F5EED" w:rsidRPr="00D0670F" w:rsidRDefault="001F5EED" w:rsidP="001F5EED">
      <w:pPr>
        <w:pStyle w:val="StandardBullet0"/>
      </w:pPr>
      <w:r>
        <w:t>W</w:t>
      </w:r>
      <w:r w:rsidRPr="00D0670F">
        <w:t>ould the project be affordable if capital costs were to be 10% higher than expected?</w:t>
      </w:r>
    </w:p>
    <w:p w:rsidR="001F5EED" w:rsidRPr="00D0670F" w:rsidRDefault="001F5EED" w:rsidP="001F5EED">
      <w:pPr>
        <w:pStyle w:val="StandardBullet0"/>
      </w:pPr>
      <w:r>
        <w:t>W</w:t>
      </w:r>
      <w:r w:rsidRPr="00D0670F">
        <w:t>hat if the expected savings were to fall by 10%?</w:t>
      </w:r>
    </w:p>
    <w:p w:rsidR="001F5EED" w:rsidRPr="00D0670F" w:rsidRDefault="001F5EED" w:rsidP="001F5EED">
      <w:pPr>
        <w:pStyle w:val="StandardBullet0"/>
      </w:pPr>
      <w:r>
        <w:t>W</w:t>
      </w:r>
      <w:r w:rsidRPr="00D0670F">
        <w:t>hat circumstances might cause saving targets to be breached?</w:t>
      </w:r>
    </w:p>
    <w:p w:rsidR="001F5EED" w:rsidRPr="00D0670F" w:rsidRDefault="001F5EED" w:rsidP="001F5EED">
      <w:pPr>
        <w:pStyle w:val="StandardBullet0"/>
      </w:pPr>
      <w:r>
        <w:t>W</w:t>
      </w:r>
      <w:r w:rsidRPr="00D0670F">
        <w:t>hat if income to the organisation were to be reduced by 5% or more?</w:t>
      </w:r>
    </w:p>
    <w:p w:rsidR="001F5EED" w:rsidRPr="00D0670F" w:rsidRDefault="001F5EED" w:rsidP="001F5EED">
      <w:pPr>
        <w:pStyle w:val="StandardBullet0"/>
      </w:pPr>
      <w:r>
        <w:t>I</w:t>
      </w:r>
      <w:r w:rsidRPr="00D0670F">
        <w:t>s there a robust strategy in place to guard against these outcomes?</w:t>
      </w:r>
    </w:p>
    <w:p w:rsidR="001F5EED" w:rsidRDefault="001F5EED" w:rsidP="001F5EED">
      <w:pPr>
        <w:pStyle w:val="StandardParagraph"/>
      </w:pPr>
      <w:r w:rsidRPr="00D0670F">
        <w:t>Finally, there is the payback period. As implied by the term, this method measures the rate at which the financial benefits from the investment ‘pays back’ the initial investment costs. In general, projects with a short payback period are preferable to those with long pay back periods.</w:t>
      </w:r>
    </w:p>
    <w:p w:rsidR="001F5EED" w:rsidRPr="00056FCE" w:rsidRDefault="001F5EED" w:rsidP="001F5EED">
      <w:pPr>
        <w:pStyle w:val="StandardParagraph"/>
        <w:rPr>
          <w:color w:val="000000" w:themeColor="text1"/>
        </w:rPr>
      </w:pPr>
      <w:r w:rsidRPr="00056FCE">
        <w:rPr>
          <w:color w:val="000000" w:themeColor="text1"/>
        </w:rPr>
        <w:lastRenderedPageBreak/>
        <w:t>Each of these considerations, plus any other appropriate issues, should be described within the accompanying narrative for this section.</w:t>
      </w:r>
    </w:p>
    <w:p w:rsidR="001F5EED" w:rsidRPr="00492B6C" w:rsidRDefault="001F5EED" w:rsidP="001F5EED">
      <w:pPr>
        <w:pStyle w:val="Heading2"/>
        <w:jc w:val="left"/>
      </w:pPr>
      <w:r w:rsidRPr="00492B6C">
        <w:t xml:space="preserve">Closing </w:t>
      </w:r>
      <w:r>
        <w:t xml:space="preserve">the </w:t>
      </w:r>
      <w:r w:rsidRPr="00492B6C">
        <w:t>affordability gaps</w:t>
      </w:r>
    </w:p>
    <w:p w:rsidR="001F5EED" w:rsidRDefault="001F5EED" w:rsidP="001F5EED">
      <w:pPr>
        <w:pStyle w:val="StandardParagraph"/>
      </w:pPr>
      <w:r>
        <w:t>Where affordability problems have emerged during the development of the project, these should be clearly described in the business case, along with the action taken to close the gap, and any residual gap following those actions.</w:t>
      </w:r>
    </w:p>
    <w:p w:rsidR="001F5EED" w:rsidRPr="00D0670F" w:rsidRDefault="001F5EED" w:rsidP="001F5EED">
      <w:pPr>
        <w:pStyle w:val="StandardParagraph"/>
      </w:pPr>
      <w:r w:rsidRPr="00D0670F">
        <w:t>If the affordability analysis reveals the preferred option is unaffordable, there are a number of potential remedies including one or more of the following:</w:t>
      </w:r>
    </w:p>
    <w:p w:rsidR="001F5EED" w:rsidRPr="00D0670F" w:rsidRDefault="001F5EED" w:rsidP="001F5EED">
      <w:pPr>
        <w:pStyle w:val="StandardBullet0"/>
      </w:pPr>
      <w:r>
        <w:t>P</w:t>
      </w:r>
      <w:r w:rsidRPr="00D0670F">
        <w:t>hasing the implementation of the preferred option differently</w:t>
      </w:r>
      <w:r>
        <w:t>.</w:t>
      </w:r>
    </w:p>
    <w:p w:rsidR="001F5EED" w:rsidRPr="00D0670F" w:rsidRDefault="001F5EED" w:rsidP="001F5EED">
      <w:pPr>
        <w:pStyle w:val="StandardBullet0"/>
      </w:pPr>
      <w:r>
        <w:t>A</w:t>
      </w:r>
      <w:r w:rsidRPr="00D0670F">
        <w:t>dopting a different design solution</w:t>
      </w:r>
      <w:r>
        <w:t>.</w:t>
      </w:r>
    </w:p>
    <w:p w:rsidR="001F5EED" w:rsidRPr="00D0670F" w:rsidRDefault="001F5EED" w:rsidP="001F5EED">
      <w:pPr>
        <w:pStyle w:val="StandardBullet0"/>
      </w:pPr>
      <w:r>
        <w:t>A</w:t>
      </w:r>
      <w:r w:rsidRPr="00D0670F">
        <w:t>ltering the scope of the preferred option – for example, its functional content or the quantity and quality of the services offered</w:t>
      </w:r>
      <w:r>
        <w:t>.</w:t>
      </w:r>
    </w:p>
    <w:p w:rsidR="001F5EED" w:rsidRPr="00D0670F" w:rsidRDefault="001F5EED" w:rsidP="001F5EED">
      <w:pPr>
        <w:pStyle w:val="StandardBullet0"/>
      </w:pPr>
      <w:r>
        <w:t>F</w:t>
      </w:r>
      <w:r w:rsidRPr="00D0670F">
        <w:t>inding additional sources of funding – for example, disposal of surplus assets (if available), further revenue support from the commissioners of the organisation’s services</w:t>
      </w:r>
      <w:r>
        <w:t>.</w:t>
      </w:r>
    </w:p>
    <w:p w:rsidR="001F5EED" w:rsidRPr="00D0670F" w:rsidRDefault="001F5EED" w:rsidP="001F5EED">
      <w:pPr>
        <w:pStyle w:val="StandardBullet0"/>
      </w:pPr>
      <w:r>
        <w:t>C</w:t>
      </w:r>
      <w:r w:rsidRPr="00D0670F">
        <w:t>onsidering different ways of financing the project – for example, private finance, operating and financial leases</w:t>
      </w:r>
      <w:r>
        <w:t>.</w:t>
      </w:r>
    </w:p>
    <w:p w:rsidR="001F5EED" w:rsidRPr="00D0670F" w:rsidRDefault="001F5EED" w:rsidP="001F5EED">
      <w:pPr>
        <w:pStyle w:val="StandardBullet0"/>
      </w:pPr>
      <w:r>
        <w:t>N</w:t>
      </w:r>
      <w:r w:rsidRPr="00D0670F">
        <w:t>egotiating more competitive or flexible prices from the service provider(s)</w:t>
      </w:r>
      <w:r>
        <w:t>.</w:t>
      </w:r>
    </w:p>
    <w:p w:rsidR="001F5EED" w:rsidRPr="00D0670F" w:rsidRDefault="001F5EED" w:rsidP="001F5EED">
      <w:pPr>
        <w:pStyle w:val="StandardBullet0"/>
      </w:pPr>
      <w:r>
        <w:t>F</w:t>
      </w:r>
      <w:r w:rsidRPr="00D0670F">
        <w:t>inding other ways of reducing the costs and/or increasing cash releasing savings</w:t>
      </w:r>
      <w:r>
        <w:t>.</w:t>
      </w:r>
    </w:p>
    <w:p w:rsidR="001F5EED" w:rsidRDefault="001F5EED" w:rsidP="001F5EED">
      <w:pPr>
        <w:pStyle w:val="StandardBullet0"/>
      </w:pPr>
      <w:r>
        <w:t>A</w:t>
      </w:r>
      <w:r w:rsidRPr="00D0670F">
        <w:t>llowing the service provider to create additional revenue streams and new business and sharing in the resultant revenue stre</w:t>
      </w:r>
      <w:r>
        <w:t>ams.</w:t>
      </w:r>
    </w:p>
    <w:p w:rsidR="001F5EED" w:rsidRDefault="001F5EED" w:rsidP="001F5EED">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pPr>
      <w:r>
        <w:br w:type="page"/>
      </w:r>
    </w:p>
    <w:p w:rsidR="001F5EED" w:rsidRPr="00675F9A" w:rsidRDefault="001F5EED" w:rsidP="001F5EED">
      <w:pPr>
        <w:pStyle w:val="Heading1"/>
      </w:pPr>
      <w:r>
        <w:lastRenderedPageBreak/>
        <w:t xml:space="preserve">Confirming </w:t>
      </w:r>
      <w:r w:rsidRPr="00675F9A">
        <w:t>Stakeholder(s)</w:t>
      </w:r>
      <w:r>
        <w:t xml:space="preserve"> S</w:t>
      </w:r>
      <w:r w:rsidRPr="00675F9A">
        <w:t>upport</w:t>
      </w:r>
    </w:p>
    <w:p w:rsidR="001F5EED" w:rsidRPr="00D0670F" w:rsidRDefault="001F5EED" w:rsidP="001F5EED">
      <w:pPr>
        <w:pStyle w:val="StandardParagraph"/>
      </w:pPr>
      <w:r>
        <w:t>It is unlikely that a business case</w:t>
      </w:r>
      <w:r w:rsidRPr="00D0670F">
        <w:t xml:space="preserve"> will be successful unless consultation has been held along the way between the </w:t>
      </w:r>
      <w:r>
        <w:t xml:space="preserve">Board </w:t>
      </w:r>
      <w:r w:rsidRPr="00D0670F">
        <w:t xml:space="preserve">seeking investment for the improved services and its stakeholders and other </w:t>
      </w:r>
      <w:proofErr w:type="spellStart"/>
      <w:r w:rsidRPr="00D0670F">
        <w:t>NHSScotland</w:t>
      </w:r>
      <w:proofErr w:type="spellEnd"/>
      <w:r w:rsidRPr="00D0670F">
        <w:t xml:space="preserve">/ public sector organisations commissioning services. </w:t>
      </w:r>
      <w:proofErr w:type="spellStart"/>
      <w:r w:rsidRPr="00D0670F">
        <w:t>NHSScotland</w:t>
      </w:r>
      <w:proofErr w:type="spellEnd"/>
      <w:r w:rsidRPr="00D0670F">
        <w:t xml:space="preserve"> policy on consultation and engagement is clear. Business cases must contain specific and explicit statements confirming that such requirements have been fully satisfied.</w:t>
      </w:r>
    </w:p>
    <w:p w:rsidR="001F5EED" w:rsidRDefault="001F5EED" w:rsidP="001F5EED">
      <w:pPr>
        <w:pStyle w:val="StandardParagraph"/>
      </w:pPr>
      <w:r w:rsidRPr="00D0670F">
        <w:t xml:space="preserve">It is crucial to the overall process that agreement, in principle, is obtained </w:t>
      </w:r>
      <w:r>
        <w:t xml:space="preserve">from the </w:t>
      </w:r>
      <w:proofErr w:type="spellStart"/>
      <w:r>
        <w:t>NHSSc</w:t>
      </w:r>
      <w:r w:rsidRPr="00D0670F">
        <w:t>otland</w:t>
      </w:r>
      <w:proofErr w:type="spellEnd"/>
      <w:r w:rsidRPr="00D0670F">
        <w:t xml:space="preserve"> bodies involved in the programme/ project. This should be in written form and included in the annex to the OBC. </w:t>
      </w:r>
      <w:r>
        <w:t xml:space="preserve"> Issues to cover in a letter of stakeholder support include:</w:t>
      </w:r>
    </w:p>
    <w:p w:rsidR="001F5EED" w:rsidRPr="00D0670F" w:rsidRDefault="001F5EED" w:rsidP="001F5EED">
      <w:pPr>
        <w:pStyle w:val="StandardBullet0"/>
      </w:pPr>
      <w:r>
        <w:t>D</w:t>
      </w:r>
      <w:r w:rsidRPr="00D0670F">
        <w:t>emonstrat</w:t>
      </w:r>
      <w:r>
        <w:t>ion</w:t>
      </w:r>
      <w:r w:rsidRPr="00D0670F">
        <w:t xml:space="preserve"> that all participant bodies have been actively involved in developing the scheme through its various stages</w:t>
      </w:r>
      <w:r>
        <w:t>.</w:t>
      </w:r>
    </w:p>
    <w:p w:rsidR="001F5EED" w:rsidRPr="00D0670F" w:rsidRDefault="001F5EED" w:rsidP="001F5EED">
      <w:pPr>
        <w:pStyle w:val="StandardBullet0"/>
      </w:pPr>
      <w:r>
        <w:t>C</w:t>
      </w:r>
      <w:r w:rsidRPr="00D0670F">
        <w:t>onfirm</w:t>
      </w:r>
      <w:r>
        <w:t>ed</w:t>
      </w:r>
      <w:r w:rsidRPr="00D0670F">
        <w:t xml:space="preserve"> acceptance of the strategic aims and investment objectives of the scheme, its functional content, size and services</w:t>
      </w:r>
      <w:r>
        <w:t>.</w:t>
      </w:r>
    </w:p>
    <w:p w:rsidR="001F5EED" w:rsidRPr="00D0670F" w:rsidRDefault="001F5EED" w:rsidP="001F5EED">
      <w:pPr>
        <w:pStyle w:val="StandardBullet0"/>
      </w:pPr>
      <w:r>
        <w:t>C</w:t>
      </w:r>
      <w:r w:rsidRPr="00D0670F">
        <w:t>onfirm</w:t>
      </w:r>
      <w:r>
        <w:t>ation</w:t>
      </w:r>
      <w:r w:rsidRPr="00D0670F">
        <w:t xml:space="preserve"> that the financial costs of the scheme can be contained within the agreed and available budget and a willingness and ability to pay for the services at the specified contribution level (capital and/ or revenue)</w:t>
      </w:r>
    </w:p>
    <w:p w:rsidR="001F5EED" w:rsidRPr="00D0670F" w:rsidRDefault="001F5EED" w:rsidP="001F5EED">
      <w:pPr>
        <w:pStyle w:val="StandardBullet0"/>
      </w:pPr>
      <w:r>
        <w:t>S</w:t>
      </w:r>
      <w:r w:rsidRPr="00D0670F">
        <w:t>tate</w:t>
      </w:r>
      <w:r>
        <w:t>ment of</w:t>
      </w:r>
      <w:r w:rsidRPr="00D0670F">
        <w:t xml:space="preserve"> the margins of leeway beyond which support must be re-validated</w:t>
      </w:r>
    </w:p>
    <w:p w:rsidR="001F5EED" w:rsidRPr="00D0670F" w:rsidRDefault="001F5EED" w:rsidP="001F5EED">
      <w:pPr>
        <w:pStyle w:val="StandardBullet0"/>
      </w:pPr>
      <w:r>
        <w:t>D</w:t>
      </w:r>
      <w:r w:rsidRPr="00D0670F">
        <w:t>emonstrat</w:t>
      </w:r>
      <w:r>
        <w:t>ion</w:t>
      </w:r>
      <w:r w:rsidRPr="00D0670F">
        <w:t xml:space="preserve"> that suitable contingency arrangements are in place to address any current or unforeseen affordability pressures</w:t>
      </w:r>
    </w:p>
    <w:p w:rsidR="001F5EED" w:rsidRDefault="001F5EED" w:rsidP="001F5EED">
      <w:pPr>
        <w:pStyle w:val="StandardParagraph"/>
        <w:rPr>
          <w:rFonts w:eastAsiaTheme="majorEastAsia" w:cstheme="majorBidi"/>
          <w:b/>
          <w:bCs/>
          <w:color w:val="000000" w:themeColor="text1"/>
          <w:sz w:val="28"/>
          <w:szCs w:val="28"/>
        </w:rPr>
      </w:pPr>
      <w:r>
        <w:t xml:space="preserve">The letter should </w:t>
      </w:r>
      <w:r w:rsidRPr="00D0670F">
        <w:t>be provided by the appropriate individual(s) within the organisation – usually the chief executive officer</w:t>
      </w:r>
      <w:r>
        <w:t>.</w:t>
      </w:r>
    </w:p>
    <w:p w:rsidR="001F5EED" w:rsidRDefault="001F5EED" w:rsidP="00515AF9">
      <w:pPr>
        <w:pStyle w:val="StandardParagraph"/>
      </w:pPr>
    </w:p>
    <w:p w:rsidR="001F5EED" w:rsidRDefault="001F5EED" w:rsidP="00515AF9">
      <w:pPr>
        <w:pStyle w:val="StandardParagraph"/>
      </w:pPr>
    </w:p>
    <w:p w:rsidR="00DA3F75" w:rsidRDefault="00DA3F75" w:rsidP="00DA3F75">
      <w:pPr>
        <w:pStyle w:val="StandardParagraph"/>
        <w:sectPr w:rsidR="00DA3F75" w:rsidSect="001B021C">
          <w:footerReference w:type="default" r:id="rId16"/>
          <w:pgSz w:w="11906" w:h="16838" w:code="9"/>
          <w:pgMar w:top="1588" w:right="1418" w:bottom="1474" w:left="1418" w:header="709" w:footer="709" w:gutter="0"/>
          <w:cols w:space="708"/>
          <w:docGrid w:linePitch="360"/>
        </w:sectPr>
      </w:pPr>
    </w:p>
    <w:p w:rsidR="00A92316" w:rsidRDefault="00A92316" w:rsidP="00A92316">
      <w:pPr>
        <w:pStyle w:val="SectionHeading"/>
      </w:pPr>
      <w:bookmarkStart w:id="11" w:name="_Toc463443357"/>
      <w:bookmarkStart w:id="12" w:name="_Toc460408660"/>
      <w:r>
        <w:lastRenderedPageBreak/>
        <w:t>MANAGEMENT CASE</w:t>
      </w:r>
      <w:bookmarkEnd w:id="11"/>
    </w:p>
    <w:p w:rsidR="00DA3F75" w:rsidRDefault="00A92316" w:rsidP="00DA3F75">
      <w:pPr>
        <w:pStyle w:val="Heading1"/>
      </w:pPr>
      <w:r>
        <w:t xml:space="preserve">Management Case: </w:t>
      </w:r>
      <w:r w:rsidR="00DA3F75" w:rsidRPr="00A21206">
        <w:t>Overview</w:t>
      </w:r>
      <w:bookmarkEnd w:id="12"/>
    </w:p>
    <w:p w:rsidR="001F5EED" w:rsidRDefault="001F5EED" w:rsidP="001F5EED">
      <w:pPr>
        <w:pStyle w:val="StandardParagraph"/>
      </w:pPr>
      <w:r w:rsidRPr="00D0670F">
        <w:t xml:space="preserve">The </w:t>
      </w:r>
      <w:r>
        <w:t xml:space="preserve">main </w:t>
      </w:r>
      <w:r w:rsidRPr="00D0670F">
        <w:t xml:space="preserve">purpose of the </w:t>
      </w:r>
      <w:r>
        <w:t>Management Case is to demonstrate that the organisation is ready and capable of delivering a successful project.  The effort required will be dependent upon the size and complexity of the project and therefore the response to the following questions should be proportionate to the level of risk of not delivering the project successfully:</w:t>
      </w:r>
    </w:p>
    <w:p w:rsidR="001F5EED" w:rsidRDefault="007F6BBC" w:rsidP="001F5EED">
      <w:pPr>
        <w:pStyle w:val="StandardParagraph"/>
      </w:pPr>
      <w:r>
        <w:rPr>
          <w:noProof/>
          <w:lang w:eastAsia="en-GB"/>
        </w:rPr>
        <w:pict>
          <v:group id="_x0000_s1609" style="position:absolute;margin-left:19.45pt;margin-top:1.05pt;width:398.65pt;height:486.8pt;z-index:251915264" coordorigin="1418,5264" coordsize="8407,10266">
            <v:rect id="_x0000_s1589" style="position:absolute;left:5258;top:5990;width:4567;height:1620;v-text-anchor:middle">
              <v:textbox style="mso-next-textbox:#_x0000_s1589">
                <w:txbxContent>
                  <w:p w:rsidR="003863F9" w:rsidRPr="00203446" w:rsidRDefault="003863F9" w:rsidP="001F5EED">
                    <w:pPr>
                      <w:spacing w:before="60" w:after="60" w:line="240" w:lineRule="auto"/>
                      <w:jc w:val="left"/>
                      <w:rPr>
                        <w:rFonts w:cs="Arial"/>
                        <w:sz w:val="18"/>
                        <w:szCs w:val="18"/>
                      </w:rPr>
                    </w:pPr>
                    <w:r w:rsidRPr="00203446">
                      <w:rPr>
                        <w:rFonts w:cs="Arial"/>
                        <w:sz w:val="18"/>
                        <w:szCs w:val="18"/>
                      </w:rPr>
                      <w:t>Outline:</w:t>
                    </w:r>
                  </w:p>
                  <w:p w:rsidR="003863F9" w:rsidRPr="00203446" w:rsidRDefault="003863F9" w:rsidP="001F5EED">
                    <w:pPr>
                      <w:pStyle w:val="Bullettable"/>
                      <w:ind w:left="720" w:hanging="360"/>
                      <w:contextualSpacing/>
                      <w:rPr>
                        <w:sz w:val="18"/>
                        <w:szCs w:val="18"/>
                      </w:rPr>
                    </w:pPr>
                    <w:r w:rsidRPr="00203446">
                      <w:rPr>
                        <w:sz w:val="18"/>
                        <w:szCs w:val="18"/>
                      </w:rPr>
                      <w:t>Reporting structure &amp; governance arrangements</w:t>
                    </w:r>
                  </w:p>
                  <w:p w:rsidR="003863F9" w:rsidRPr="00203446" w:rsidRDefault="003863F9" w:rsidP="001F5EED">
                    <w:pPr>
                      <w:pStyle w:val="Bullettable"/>
                      <w:ind w:left="720" w:hanging="360"/>
                      <w:contextualSpacing/>
                      <w:rPr>
                        <w:sz w:val="18"/>
                        <w:szCs w:val="18"/>
                      </w:rPr>
                    </w:pPr>
                    <w:r w:rsidRPr="00203446">
                      <w:rPr>
                        <w:sz w:val="18"/>
                        <w:szCs w:val="18"/>
                      </w:rPr>
                      <w:t>Key roles &amp; responsibilities</w:t>
                    </w:r>
                  </w:p>
                  <w:p w:rsidR="003863F9" w:rsidRPr="00203446" w:rsidRDefault="003863F9" w:rsidP="001F5EED">
                    <w:pPr>
                      <w:pStyle w:val="Bullettable"/>
                      <w:ind w:left="720" w:hanging="360"/>
                      <w:contextualSpacing/>
                      <w:rPr>
                        <w:sz w:val="18"/>
                        <w:szCs w:val="18"/>
                      </w:rPr>
                    </w:pPr>
                    <w:r w:rsidRPr="00203446">
                      <w:rPr>
                        <w:sz w:val="18"/>
                        <w:szCs w:val="18"/>
                      </w:rPr>
                      <w:t>Project recruitment needs</w:t>
                    </w:r>
                  </w:p>
                  <w:p w:rsidR="003863F9" w:rsidRPr="00203446" w:rsidRDefault="003863F9" w:rsidP="001F5EED">
                    <w:pPr>
                      <w:pStyle w:val="Bullettable"/>
                      <w:ind w:left="720" w:hanging="360"/>
                      <w:contextualSpacing/>
                      <w:rPr>
                        <w:sz w:val="18"/>
                        <w:szCs w:val="18"/>
                      </w:rPr>
                    </w:pPr>
                    <w:r>
                      <w:rPr>
                        <w:sz w:val="18"/>
                        <w:szCs w:val="18"/>
                      </w:rPr>
                      <w:t>Project plan</w:t>
                    </w:r>
                  </w:p>
                  <w:p w:rsidR="003863F9" w:rsidRDefault="003863F9" w:rsidP="001F5EED"/>
                </w:txbxContent>
              </v:textbox>
            </v:rect>
            <v:rect id="_x0000_s1590" style="position:absolute;left:2378;top:5990;width:2640;height:1620;v-text-anchor:middle">
              <v:textbox style="mso-next-textbox:#_x0000_s1590">
                <w:txbxContent>
                  <w:p w:rsidR="003863F9" w:rsidRPr="00203446" w:rsidRDefault="003863F9" w:rsidP="001F5EED">
                    <w:pPr>
                      <w:spacing w:before="240" w:after="120" w:line="240" w:lineRule="auto"/>
                      <w:jc w:val="left"/>
                      <w:rPr>
                        <w:rFonts w:cs="Arial"/>
                        <w:sz w:val="20"/>
                      </w:rPr>
                    </w:pPr>
                    <w:r w:rsidRPr="00203446">
                      <w:rPr>
                        <w:rFonts w:cs="Arial"/>
                        <w:sz w:val="20"/>
                      </w:rPr>
                      <w:t>W</w:t>
                    </w:r>
                    <w:r>
                      <w:rPr>
                        <w:rFonts w:cs="Arial"/>
                        <w:sz w:val="20"/>
                      </w:rPr>
                      <w:t>hat are the project management arrangements</w:t>
                    </w:r>
                    <w:r w:rsidRPr="00203446">
                      <w:rPr>
                        <w:rFonts w:cs="Arial"/>
                        <w:sz w:val="20"/>
                      </w:rPr>
                      <w:t xml:space="preserve"> </w:t>
                    </w:r>
                    <w:r>
                      <w:rPr>
                        <w:rFonts w:cs="Arial"/>
                        <w:sz w:val="20"/>
                      </w:rPr>
                      <w:t xml:space="preserve">are in </w:t>
                    </w:r>
                    <w:r w:rsidRPr="00203446">
                      <w:rPr>
                        <w:rFonts w:cs="Arial"/>
                        <w:sz w:val="20"/>
                      </w:rPr>
                      <w:t>place?</w:t>
                    </w:r>
                  </w:p>
                </w:txbxContent>
              </v:textbox>
            </v:rect>
            <v:rect id="_x0000_s1591" style="position:absolute;left:1418;top:5990;width:720;height:1620;v-text-anchor:middle" fillcolor="#bfbfbf [2412]">
              <v:textbox style="layout-flow:vertical;mso-layout-flow-alt:bottom-to-top;mso-next-textbox:#_x0000_s1591">
                <w:txbxContent>
                  <w:p w:rsidR="003863F9" w:rsidRPr="005B3097" w:rsidRDefault="003863F9" w:rsidP="001F5EED">
                    <w:pPr>
                      <w:spacing w:line="240" w:lineRule="auto"/>
                      <w:jc w:val="center"/>
                      <w:rPr>
                        <w:rFonts w:cs="Arial"/>
                        <w:b/>
                        <w:sz w:val="18"/>
                        <w:szCs w:val="18"/>
                      </w:rPr>
                    </w:pPr>
                    <w:r>
                      <w:rPr>
                        <w:rFonts w:cs="Arial"/>
                        <w:b/>
                        <w:sz w:val="18"/>
                        <w:szCs w:val="18"/>
                      </w:rPr>
                      <w:t xml:space="preserve">Project Management </w:t>
                    </w:r>
                  </w:p>
                </w:txbxContent>
              </v:textbox>
            </v:rect>
            <v:rect id="_x0000_s1592" style="position:absolute;left:5258;top:5264;width:4567;height:546;v-text-anchor:middle" fillcolor="#31849b [2408]">
              <v:textbox style="mso-next-textbox:#_x0000_s1592">
                <w:txbxContent>
                  <w:p w:rsidR="003863F9" w:rsidRPr="00EA7DFB" w:rsidRDefault="003863F9" w:rsidP="001F5EED">
                    <w:pPr>
                      <w:spacing w:line="240" w:lineRule="auto"/>
                      <w:jc w:val="center"/>
                      <w:rPr>
                        <w:rFonts w:cs="Arial"/>
                        <w:b/>
                        <w:color w:val="FFFFFF" w:themeColor="background1"/>
                        <w:szCs w:val="24"/>
                      </w:rPr>
                    </w:pPr>
                    <w:r w:rsidRPr="00EA7DFB">
                      <w:rPr>
                        <w:rFonts w:cs="Arial"/>
                        <w:b/>
                        <w:color w:val="FFFFFF" w:themeColor="background1"/>
                        <w:szCs w:val="24"/>
                      </w:rPr>
                      <w:t>Response</w:t>
                    </w:r>
                  </w:p>
                </w:txbxContent>
              </v:textbox>
            </v:rect>
            <v:rect id="_x0000_s1593" style="position:absolute;left:2378;top:5264;width:2640;height:546;v-text-anchor:middle" fillcolor="#31849b [2408]">
              <v:textbox style="mso-next-textbox:#_x0000_s1593">
                <w:txbxContent>
                  <w:p w:rsidR="003863F9" w:rsidRPr="00EA7DFB" w:rsidRDefault="003863F9" w:rsidP="001F5EED">
                    <w:pPr>
                      <w:spacing w:line="240" w:lineRule="auto"/>
                      <w:jc w:val="center"/>
                      <w:rPr>
                        <w:rFonts w:cs="Arial"/>
                        <w:b/>
                        <w:color w:val="FFFFFF" w:themeColor="background1"/>
                        <w:szCs w:val="24"/>
                      </w:rPr>
                    </w:pPr>
                    <w:r w:rsidRPr="00EA7DFB">
                      <w:rPr>
                        <w:rFonts w:cs="Arial"/>
                        <w:b/>
                        <w:color w:val="FFFFFF" w:themeColor="background1"/>
                        <w:szCs w:val="24"/>
                      </w:rPr>
                      <w:t>Question</w:t>
                    </w:r>
                  </w:p>
                </w:txbxContent>
              </v:textbox>
            </v:rect>
            <v:rect id="_x0000_s1594" style="position:absolute;left:1418;top:7790;width:720;height:1440;v-text-anchor:middle" fillcolor="#bfbfbf [2412]">
              <v:textbox style="layout-flow:vertical;mso-layout-flow-alt:bottom-to-top;mso-next-textbox:#_x0000_s1594">
                <w:txbxContent>
                  <w:p w:rsidR="003863F9" w:rsidRPr="005B3097" w:rsidRDefault="003863F9" w:rsidP="001F5EED">
                    <w:pPr>
                      <w:spacing w:line="240" w:lineRule="auto"/>
                      <w:jc w:val="center"/>
                      <w:rPr>
                        <w:rFonts w:cs="Arial"/>
                        <w:b/>
                        <w:sz w:val="18"/>
                        <w:szCs w:val="18"/>
                      </w:rPr>
                    </w:pPr>
                    <w:r>
                      <w:rPr>
                        <w:rFonts w:cs="Arial"/>
                        <w:b/>
                        <w:sz w:val="18"/>
                        <w:szCs w:val="18"/>
                      </w:rPr>
                      <w:t xml:space="preserve">Change Management </w:t>
                    </w:r>
                  </w:p>
                </w:txbxContent>
              </v:textbox>
            </v:rect>
            <v:rect id="_x0000_s1595" style="position:absolute;left:2378;top:7790;width:2640;height:1440;v-text-anchor:middle">
              <v:textbox style="mso-next-textbox:#_x0000_s1595">
                <w:txbxContent>
                  <w:p w:rsidR="003863F9" w:rsidRPr="00203446" w:rsidRDefault="003863F9" w:rsidP="001F5EED">
                    <w:pPr>
                      <w:spacing w:before="240" w:after="120" w:line="240" w:lineRule="auto"/>
                      <w:jc w:val="left"/>
                      <w:rPr>
                        <w:rFonts w:cs="Arial"/>
                        <w:sz w:val="20"/>
                      </w:rPr>
                    </w:pPr>
                    <w:r w:rsidRPr="00203446">
                      <w:rPr>
                        <w:rFonts w:cs="Arial"/>
                        <w:sz w:val="20"/>
                      </w:rPr>
                      <w:t xml:space="preserve">What change management arrangements </w:t>
                    </w:r>
                    <w:r>
                      <w:rPr>
                        <w:rFonts w:cs="Arial"/>
                        <w:sz w:val="20"/>
                      </w:rPr>
                      <w:t>are being planned</w:t>
                    </w:r>
                    <w:r w:rsidRPr="00203446">
                      <w:rPr>
                        <w:rFonts w:cs="Arial"/>
                        <w:sz w:val="20"/>
                      </w:rPr>
                      <w:t>?</w:t>
                    </w:r>
                  </w:p>
                </w:txbxContent>
              </v:textbox>
            </v:rect>
            <v:rect id="_x0000_s1596" style="position:absolute;left:5258;top:7790;width:4567;height:1440;v-text-anchor:middle">
              <v:textbox style="mso-next-textbox:#_x0000_s1596">
                <w:txbxContent>
                  <w:p w:rsidR="003863F9" w:rsidRPr="003373DC" w:rsidRDefault="003863F9" w:rsidP="001F5EED">
                    <w:pPr>
                      <w:spacing w:before="60" w:after="60" w:line="240" w:lineRule="auto"/>
                      <w:jc w:val="left"/>
                      <w:rPr>
                        <w:rFonts w:cs="Arial"/>
                        <w:sz w:val="18"/>
                        <w:szCs w:val="18"/>
                      </w:rPr>
                    </w:pPr>
                    <w:r w:rsidRPr="003373DC">
                      <w:rPr>
                        <w:rFonts w:cs="Arial"/>
                        <w:sz w:val="18"/>
                        <w:szCs w:val="18"/>
                      </w:rPr>
                      <w:t>Outline, where appropriate:</w:t>
                    </w:r>
                  </w:p>
                  <w:p w:rsidR="003863F9" w:rsidRPr="003373DC" w:rsidRDefault="003863F9" w:rsidP="001F5EED">
                    <w:pPr>
                      <w:pStyle w:val="Bullettable"/>
                      <w:ind w:left="720" w:hanging="360"/>
                      <w:contextualSpacing/>
                      <w:rPr>
                        <w:sz w:val="18"/>
                        <w:szCs w:val="18"/>
                      </w:rPr>
                    </w:pPr>
                    <w:r>
                      <w:rPr>
                        <w:sz w:val="18"/>
                        <w:szCs w:val="18"/>
                      </w:rPr>
                      <w:t xml:space="preserve">Operational </w:t>
                    </w:r>
                    <w:r w:rsidR="00995AE8">
                      <w:rPr>
                        <w:sz w:val="18"/>
                        <w:szCs w:val="18"/>
                      </w:rPr>
                      <w:t xml:space="preserve">&amp; service </w:t>
                    </w:r>
                    <w:r>
                      <w:rPr>
                        <w:sz w:val="18"/>
                        <w:szCs w:val="18"/>
                      </w:rPr>
                      <w:t xml:space="preserve">change </w:t>
                    </w:r>
                    <w:r>
                      <w:rPr>
                        <w:sz w:val="18"/>
                        <w:szCs w:val="18"/>
                      </w:rPr>
                      <w:t>plan</w:t>
                    </w:r>
                    <w:r w:rsidR="00995AE8">
                      <w:rPr>
                        <w:sz w:val="18"/>
                        <w:szCs w:val="18"/>
                      </w:rPr>
                      <w:t>s</w:t>
                    </w:r>
                  </w:p>
                  <w:p w:rsidR="003863F9" w:rsidRPr="003373DC" w:rsidRDefault="003863F9" w:rsidP="001F5EED">
                    <w:pPr>
                      <w:pStyle w:val="Bullettable"/>
                      <w:ind w:left="720" w:hanging="360"/>
                      <w:contextualSpacing/>
                      <w:rPr>
                        <w:sz w:val="18"/>
                        <w:szCs w:val="18"/>
                      </w:rPr>
                    </w:pPr>
                    <w:r>
                      <w:rPr>
                        <w:sz w:val="18"/>
                        <w:szCs w:val="18"/>
                      </w:rPr>
                      <w:t>Facilities change plan</w:t>
                    </w:r>
                  </w:p>
                  <w:p w:rsidR="003863F9" w:rsidRPr="003373DC" w:rsidRDefault="003863F9" w:rsidP="001F5EED">
                    <w:pPr>
                      <w:pStyle w:val="Bullettable"/>
                      <w:ind w:left="720" w:hanging="360"/>
                      <w:contextualSpacing/>
                      <w:rPr>
                        <w:sz w:val="18"/>
                        <w:szCs w:val="18"/>
                      </w:rPr>
                    </w:pPr>
                    <w:r w:rsidRPr="003373DC">
                      <w:rPr>
                        <w:sz w:val="18"/>
                        <w:szCs w:val="18"/>
                      </w:rPr>
                      <w:t>Stakeholder engagement &amp; communication plan</w:t>
                    </w:r>
                  </w:p>
                </w:txbxContent>
              </v:textbox>
            </v:rect>
            <v:rect id="_x0000_s1597" style="position:absolute;left:1418;top:9410;width:720;height:1260;v-text-anchor:middle" fillcolor="#bfbfbf [2412]">
              <v:textbox style="layout-flow:vertical;mso-layout-flow-alt:bottom-to-top;mso-next-textbox:#_x0000_s1597">
                <w:txbxContent>
                  <w:p w:rsidR="003863F9" w:rsidRPr="005B3097" w:rsidRDefault="003863F9" w:rsidP="001F5EED">
                    <w:pPr>
                      <w:spacing w:line="240" w:lineRule="auto"/>
                      <w:jc w:val="center"/>
                      <w:rPr>
                        <w:rFonts w:cs="Arial"/>
                        <w:b/>
                        <w:sz w:val="18"/>
                        <w:szCs w:val="18"/>
                      </w:rPr>
                    </w:pPr>
                    <w:r>
                      <w:rPr>
                        <w:rFonts w:cs="Arial"/>
                        <w:b/>
                        <w:sz w:val="18"/>
                        <w:szCs w:val="18"/>
                      </w:rPr>
                      <w:t xml:space="preserve">Benefits Realisation </w:t>
                    </w:r>
                  </w:p>
                </w:txbxContent>
              </v:textbox>
            </v:rect>
            <v:rect id="_x0000_s1598" style="position:absolute;left:2378;top:9410;width:2662;height:1260;v-text-anchor:middle">
              <v:textbox style="mso-next-textbox:#_x0000_s1598">
                <w:txbxContent>
                  <w:p w:rsidR="003863F9" w:rsidRPr="00203446" w:rsidRDefault="003863F9" w:rsidP="001F5EED">
                    <w:pPr>
                      <w:spacing w:before="240" w:after="120" w:line="240" w:lineRule="auto"/>
                      <w:jc w:val="left"/>
                      <w:rPr>
                        <w:rFonts w:cs="Arial"/>
                        <w:sz w:val="20"/>
                      </w:rPr>
                    </w:pPr>
                    <w:r w:rsidRPr="00203446">
                      <w:rPr>
                        <w:rFonts w:cs="Arial"/>
                        <w:sz w:val="20"/>
                      </w:rPr>
                      <w:t xml:space="preserve">How </w:t>
                    </w:r>
                    <w:r>
                      <w:rPr>
                        <w:rFonts w:cs="Arial"/>
                        <w:sz w:val="20"/>
                      </w:rPr>
                      <w:t xml:space="preserve">will </w:t>
                    </w:r>
                    <w:r w:rsidRPr="00203446">
                      <w:rPr>
                        <w:rFonts w:cs="Arial"/>
                        <w:sz w:val="20"/>
                      </w:rPr>
                      <w:t>the project’s benefits be realised?</w:t>
                    </w:r>
                  </w:p>
                </w:txbxContent>
              </v:textbox>
            </v:rect>
            <v:rect id="_x0000_s1599" style="position:absolute;left:5258;top:9410;width:4567;height:1260;flip:y">
              <v:textbox style="mso-next-textbox:#_x0000_s1599">
                <w:txbxContent>
                  <w:p w:rsidR="003863F9" w:rsidRPr="00203446" w:rsidRDefault="003863F9" w:rsidP="001F5EED">
                    <w:pPr>
                      <w:spacing w:before="60" w:after="60" w:line="240" w:lineRule="auto"/>
                      <w:jc w:val="left"/>
                      <w:rPr>
                        <w:rFonts w:cs="Arial"/>
                        <w:sz w:val="18"/>
                        <w:szCs w:val="18"/>
                      </w:rPr>
                    </w:pPr>
                    <w:r w:rsidRPr="00203446">
                      <w:rPr>
                        <w:rFonts w:cs="Arial"/>
                        <w:sz w:val="18"/>
                        <w:szCs w:val="18"/>
                      </w:rPr>
                      <w:t>Outline:</w:t>
                    </w:r>
                  </w:p>
                  <w:p w:rsidR="003863F9" w:rsidRPr="00203446" w:rsidRDefault="003863F9" w:rsidP="001F5EED">
                    <w:pPr>
                      <w:pStyle w:val="Bullettable"/>
                      <w:ind w:left="720" w:hanging="360"/>
                      <w:contextualSpacing/>
                      <w:rPr>
                        <w:sz w:val="18"/>
                        <w:szCs w:val="18"/>
                      </w:rPr>
                    </w:pPr>
                    <w:r w:rsidRPr="00203446">
                      <w:rPr>
                        <w:sz w:val="18"/>
                        <w:szCs w:val="18"/>
                      </w:rPr>
                      <w:t>Updated benefits register</w:t>
                    </w:r>
                  </w:p>
                  <w:p w:rsidR="003863F9" w:rsidRPr="00203446" w:rsidRDefault="003863F9" w:rsidP="001F5EED">
                    <w:pPr>
                      <w:pStyle w:val="Bullettable"/>
                      <w:ind w:left="720" w:hanging="360"/>
                      <w:contextualSpacing/>
                      <w:rPr>
                        <w:sz w:val="18"/>
                        <w:szCs w:val="18"/>
                      </w:rPr>
                    </w:pPr>
                    <w:r w:rsidRPr="00203446">
                      <w:rPr>
                        <w:sz w:val="18"/>
                        <w:szCs w:val="18"/>
                      </w:rPr>
                      <w:t>Full benefits realisation plan</w:t>
                    </w:r>
                  </w:p>
                </w:txbxContent>
              </v:textbox>
            </v:rect>
            <v:rect id="_x0000_s1600" style="position:absolute;left:1418;top:10850;width:720;height:1440;v-text-anchor:middle" fillcolor="#bfbfbf [2412]">
              <v:textbox style="layout-flow:vertical;mso-layout-flow-alt:bottom-to-top;mso-next-textbox:#_x0000_s1600">
                <w:txbxContent>
                  <w:p w:rsidR="003863F9" w:rsidRPr="005B3097" w:rsidRDefault="003863F9" w:rsidP="001F5EED">
                    <w:pPr>
                      <w:spacing w:line="240" w:lineRule="auto"/>
                      <w:jc w:val="center"/>
                      <w:rPr>
                        <w:rFonts w:cs="Arial"/>
                        <w:b/>
                        <w:sz w:val="18"/>
                        <w:szCs w:val="18"/>
                      </w:rPr>
                    </w:pPr>
                    <w:r>
                      <w:rPr>
                        <w:rFonts w:cs="Arial"/>
                        <w:b/>
                        <w:sz w:val="18"/>
                        <w:szCs w:val="18"/>
                      </w:rPr>
                      <w:t xml:space="preserve">Risk Management </w:t>
                    </w:r>
                  </w:p>
                </w:txbxContent>
              </v:textbox>
            </v:rect>
            <v:rect id="_x0000_s1601" style="position:absolute;left:2378;top:10850;width:2662;height:1440;v-text-anchor:middle">
              <v:textbox style="mso-next-textbox:#_x0000_s1601">
                <w:txbxContent>
                  <w:p w:rsidR="003863F9" w:rsidRPr="00CB72F5" w:rsidRDefault="003863F9" w:rsidP="001F5EED">
                    <w:pPr>
                      <w:spacing w:before="240" w:after="120" w:line="240" w:lineRule="auto"/>
                      <w:jc w:val="left"/>
                      <w:rPr>
                        <w:rFonts w:cs="Arial"/>
                        <w:sz w:val="20"/>
                      </w:rPr>
                    </w:pPr>
                    <w:r>
                      <w:rPr>
                        <w:rFonts w:cs="Arial"/>
                        <w:sz w:val="20"/>
                      </w:rPr>
                      <w:t xml:space="preserve">How </w:t>
                    </w:r>
                    <w:proofErr w:type="gramStart"/>
                    <w:r>
                      <w:rPr>
                        <w:rFonts w:cs="Arial"/>
                        <w:sz w:val="20"/>
                      </w:rPr>
                      <w:t xml:space="preserve">are </w:t>
                    </w:r>
                    <w:r w:rsidRPr="00CB72F5">
                      <w:rPr>
                        <w:rFonts w:cs="Arial"/>
                        <w:sz w:val="20"/>
                      </w:rPr>
                      <w:t>the project</w:t>
                    </w:r>
                    <w:proofErr w:type="gramEnd"/>
                    <w:r w:rsidRPr="00CB72F5">
                      <w:rPr>
                        <w:rFonts w:cs="Arial"/>
                        <w:sz w:val="20"/>
                      </w:rPr>
                      <w:t xml:space="preserve"> risks be</w:t>
                    </w:r>
                    <w:r>
                      <w:rPr>
                        <w:rFonts w:cs="Arial"/>
                        <w:sz w:val="20"/>
                      </w:rPr>
                      <w:t>ing</w:t>
                    </w:r>
                    <w:r w:rsidRPr="00CB72F5">
                      <w:rPr>
                        <w:rFonts w:cs="Arial"/>
                        <w:sz w:val="20"/>
                      </w:rPr>
                      <w:t xml:space="preserve"> managed?</w:t>
                    </w:r>
                  </w:p>
                </w:txbxContent>
              </v:textbox>
            </v:rect>
            <v:rect id="_x0000_s1602" style="position:absolute;left:5258;top:10850;width:4567;height:1440">
              <v:textbox style="mso-next-textbox:#_x0000_s1602">
                <w:txbxContent>
                  <w:p w:rsidR="003863F9" w:rsidRPr="00CB72F5" w:rsidRDefault="003863F9" w:rsidP="001F5EED">
                    <w:pPr>
                      <w:spacing w:before="60" w:after="60" w:line="240" w:lineRule="auto"/>
                      <w:jc w:val="left"/>
                      <w:rPr>
                        <w:rFonts w:cs="Arial"/>
                        <w:sz w:val="18"/>
                        <w:szCs w:val="18"/>
                      </w:rPr>
                    </w:pPr>
                    <w:r w:rsidRPr="00CB72F5">
                      <w:rPr>
                        <w:rFonts w:cs="Arial"/>
                        <w:sz w:val="18"/>
                        <w:szCs w:val="18"/>
                      </w:rPr>
                      <w:t>Outline:</w:t>
                    </w:r>
                  </w:p>
                  <w:p w:rsidR="003863F9" w:rsidRDefault="003863F9" w:rsidP="001F5EED">
                    <w:pPr>
                      <w:pStyle w:val="Bullettable"/>
                      <w:ind w:left="720" w:hanging="360"/>
                      <w:contextualSpacing/>
                      <w:rPr>
                        <w:sz w:val="18"/>
                        <w:szCs w:val="18"/>
                      </w:rPr>
                    </w:pPr>
                    <w:r>
                      <w:rPr>
                        <w:sz w:val="18"/>
                        <w:szCs w:val="18"/>
                      </w:rPr>
                      <w:t>Updated risk register</w:t>
                    </w:r>
                  </w:p>
                  <w:p w:rsidR="003863F9" w:rsidRDefault="003863F9" w:rsidP="001F5EED">
                    <w:pPr>
                      <w:pStyle w:val="Bullettable"/>
                      <w:ind w:left="720" w:hanging="360"/>
                      <w:contextualSpacing/>
                      <w:rPr>
                        <w:sz w:val="18"/>
                        <w:szCs w:val="18"/>
                      </w:rPr>
                    </w:pPr>
                    <w:r>
                      <w:rPr>
                        <w:sz w:val="18"/>
                        <w:szCs w:val="18"/>
                      </w:rPr>
                      <w:t>Risk control measures</w:t>
                    </w:r>
                  </w:p>
                  <w:p w:rsidR="003863F9" w:rsidRPr="00CB72F5" w:rsidRDefault="003863F9" w:rsidP="001F5EED">
                    <w:pPr>
                      <w:pStyle w:val="Bullettable"/>
                      <w:ind w:left="720" w:hanging="360"/>
                      <w:contextualSpacing/>
                      <w:rPr>
                        <w:sz w:val="18"/>
                        <w:szCs w:val="18"/>
                      </w:rPr>
                    </w:pPr>
                    <w:r>
                      <w:rPr>
                        <w:sz w:val="18"/>
                        <w:szCs w:val="18"/>
                      </w:rPr>
                      <w:t>Governance arrangements</w:t>
                    </w:r>
                  </w:p>
                </w:txbxContent>
              </v:textbox>
            </v:rect>
            <v:rect id="_x0000_s1603" style="position:absolute;left:1418;top:12470;width:720;height:1617;v-text-anchor:middle" fillcolor="#bfbfbf [2412]">
              <v:textbox style="layout-flow:vertical;mso-layout-flow-alt:bottom-to-top;mso-next-textbox:#_x0000_s1603">
                <w:txbxContent>
                  <w:p w:rsidR="003863F9" w:rsidRPr="005B3097" w:rsidRDefault="003863F9" w:rsidP="001F5EED">
                    <w:pPr>
                      <w:spacing w:line="240" w:lineRule="auto"/>
                      <w:jc w:val="center"/>
                      <w:rPr>
                        <w:rFonts w:cs="Arial"/>
                        <w:b/>
                        <w:sz w:val="18"/>
                        <w:szCs w:val="18"/>
                      </w:rPr>
                    </w:pPr>
                    <w:r>
                      <w:rPr>
                        <w:rFonts w:cs="Arial"/>
                        <w:b/>
                        <w:sz w:val="18"/>
                        <w:szCs w:val="18"/>
                      </w:rPr>
                      <w:t xml:space="preserve">Commissioning </w:t>
                    </w:r>
                  </w:p>
                </w:txbxContent>
              </v:textbox>
            </v:rect>
            <v:rect id="_x0000_s1604" style="position:absolute;left:2378;top:12470;width:2662;height:1617;v-text-anchor:middle">
              <v:textbox style="mso-next-textbox:#_x0000_s1604">
                <w:txbxContent>
                  <w:p w:rsidR="003863F9" w:rsidRPr="00CB72F5" w:rsidRDefault="003863F9" w:rsidP="001F5EED">
                    <w:pPr>
                      <w:spacing w:before="240" w:after="120" w:line="240" w:lineRule="auto"/>
                      <w:jc w:val="left"/>
                      <w:rPr>
                        <w:rFonts w:cs="Arial"/>
                        <w:sz w:val="20"/>
                      </w:rPr>
                    </w:pPr>
                    <w:r w:rsidRPr="00CB72F5">
                      <w:rPr>
                        <w:rFonts w:cs="Arial"/>
                        <w:sz w:val="20"/>
                      </w:rPr>
                      <w:t>What commissioning arrangements</w:t>
                    </w:r>
                    <w:r>
                      <w:rPr>
                        <w:rFonts w:cs="Arial"/>
                        <w:sz w:val="20"/>
                      </w:rPr>
                      <w:t xml:space="preserve"> are being planned</w:t>
                    </w:r>
                    <w:r w:rsidRPr="00CB72F5">
                      <w:rPr>
                        <w:rFonts w:cs="Arial"/>
                        <w:sz w:val="20"/>
                      </w:rPr>
                      <w:t>?</w:t>
                    </w:r>
                  </w:p>
                </w:txbxContent>
              </v:textbox>
            </v:rect>
            <v:rect id="_x0000_s1605" style="position:absolute;left:5258;top:12470;width:4567;height:1617">
              <v:textbox style="mso-next-textbox:#_x0000_s1605">
                <w:txbxContent>
                  <w:p w:rsidR="003863F9" w:rsidRPr="00CB72F5" w:rsidRDefault="003863F9" w:rsidP="001F5EED">
                    <w:pPr>
                      <w:spacing w:before="60" w:after="60" w:line="240" w:lineRule="auto"/>
                      <w:jc w:val="left"/>
                      <w:rPr>
                        <w:rFonts w:cs="Arial"/>
                        <w:sz w:val="18"/>
                        <w:szCs w:val="18"/>
                      </w:rPr>
                    </w:pPr>
                    <w:r w:rsidRPr="00CB72F5">
                      <w:rPr>
                        <w:rFonts w:cs="Arial"/>
                        <w:sz w:val="18"/>
                        <w:szCs w:val="18"/>
                      </w:rPr>
                      <w:t>Outline:</w:t>
                    </w:r>
                  </w:p>
                  <w:p w:rsidR="003863F9" w:rsidRDefault="003863F9" w:rsidP="001F5EED">
                    <w:pPr>
                      <w:pStyle w:val="Bullettable"/>
                      <w:ind w:left="720" w:hanging="360"/>
                      <w:contextualSpacing/>
                      <w:rPr>
                        <w:sz w:val="18"/>
                        <w:szCs w:val="18"/>
                      </w:rPr>
                    </w:pPr>
                    <w:r>
                      <w:rPr>
                        <w:sz w:val="18"/>
                        <w:szCs w:val="18"/>
                      </w:rPr>
                      <w:t>Reporting structure aligned to main project structure</w:t>
                    </w:r>
                  </w:p>
                  <w:p w:rsidR="003863F9" w:rsidRDefault="003863F9" w:rsidP="001F5EED">
                    <w:pPr>
                      <w:pStyle w:val="Bullettable"/>
                      <w:ind w:left="720" w:hanging="360"/>
                      <w:contextualSpacing/>
                      <w:rPr>
                        <w:sz w:val="18"/>
                        <w:szCs w:val="18"/>
                      </w:rPr>
                    </w:pPr>
                    <w:r>
                      <w:rPr>
                        <w:sz w:val="18"/>
                        <w:szCs w:val="18"/>
                      </w:rPr>
                      <w:t>Person dedicated to leading this process</w:t>
                    </w:r>
                  </w:p>
                  <w:p w:rsidR="003863F9" w:rsidRDefault="003863F9" w:rsidP="001F5EED">
                    <w:pPr>
                      <w:pStyle w:val="Bullettable"/>
                      <w:ind w:left="720" w:hanging="360"/>
                      <w:contextualSpacing/>
                      <w:rPr>
                        <w:sz w:val="18"/>
                        <w:szCs w:val="18"/>
                      </w:rPr>
                    </w:pPr>
                    <w:r>
                      <w:rPr>
                        <w:sz w:val="18"/>
                        <w:szCs w:val="18"/>
                      </w:rPr>
                      <w:t>Key stages</w:t>
                    </w:r>
                  </w:p>
                  <w:p w:rsidR="003863F9" w:rsidRPr="00C86F55" w:rsidRDefault="003863F9" w:rsidP="001F5EED">
                    <w:pPr>
                      <w:pStyle w:val="Bullettable"/>
                      <w:ind w:left="720" w:hanging="360"/>
                      <w:contextualSpacing/>
                      <w:rPr>
                        <w:sz w:val="18"/>
                        <w:szCs w:val="18"/>
                      </w:rPr>
                    </w:pPr>
                    <w:r>
                      <w:rPr>
                        <w:sz w:val="18"/>
                        <w:szCs w:val="18"/>
                      </w:rPr>
                      <w:t>Resource requirements</w:t>
                    </w:r>
                  </w:p>
                </w:txbxContent>
              </v:textbox>
            </v:rect>
            <v:rect id="_x0000_s1606" style="position:absolute;left:1418;top:14270;width:720;height:1260;v-text-anchor:middle" fillcolor="#bfbfbf [2412]">
              <v:textbox style="layout-flow:vertical;mso-layout-flow-alt:bottom-to-top;mso-next-textbox:#_x0000_s1606">
                <w:txbxContent>
                  <w:p w:rsidR="003863F9" w:rsidRPr="005B3097" w:rsidRDefault="003863F9" w:rsidP="001F5EED">
                    <w:pPr>
                      <w:spacing w:line="240" w:lineRule="auto"/>
                      <w:jc w:val="center"/>
                      <w:rPr>
                        <w:rFonts w:cs="Arial"/>
                        <w:b/>
                        <w:sz w:val="18"/>
                        <w:szCs w:val="18"/>
                      </w:rPr>
                    </w:pPr>
                    <w:r>
                      <w:rPr>
                        <w:rFonts w:cs="Arial"/>
                        <w:b/>
                        <w:sz w:val="18"/>
                        <w:szCs w:val="18"/>
                      </w:rPr>
                      <w:t xml:space="preserve">Project Evaluation </w:t>
                    </w:r>
                  </w:p>
                </w:txbxContent>
              </v:textbox>
            </v:rect>
            <v:rect id="_x0000_s1607" style="position:absolute;left:2378;top:14270;width:2662;height:1260;v-text-anchor:middle">
              <v:textbox style="mso-next-textbox:#_x0000_s1607">
                <w:txbxContent>
                  <w:p w:rsidR="003863F9" w:rsidRPr="00CB72F5" w:rsidRDefault="003863F9" w:rsidP="001F5EED">
                    <w:pPr>
                      <w:spacing w:before="240" w:after="120" w:line="240" w:lineRule="auto"/>
                      <w:jc w:val="left"/>
                      <w:rPr>
                        <w:rFonts w:cs="Arial"/>
                        <w:sz w:val="20"/>
                      </w:rPr>
                    </w:pPr>
                    <w:r w:rsidRPr="00CB72F5">
                      <w:rPr>
                        <w:rFonts w:cs="Arial"/>
                        <w:sz w:val="20"/>
                      </w:rPr>
                      <w:t>How will the success of the project be assessed?</w:t>
                    </w:r>
                  </w:p>
                </w:txbxContent>
              </v:textbox>
            </v:rect>
            <v:rect id="_x0000_s1608" style="position:absolute;left:5258;top:14270;width:4567;height:1260;v-text-anchor:middle">
              <v:textbox style="mso-next-textbox:#_x0000_s1608">
                <w:txbxContent>
                  <w:p w:rsidR="003863F9" w:rsidRPr="00CB72F5" w:rsidRDefault="003863F9" w:rsidP="001F5EED">
                    <w:pPr>
                      <w:spacing w:before="60" w:after="60" w:line="240" w:lineRule="auto"/>
                      <w:jc w:val="left"/>
                      <w:rPr>
                        <w:rFonts w:cs="Arial"/>
                        <w:sz w:val="18"/>
                        <w:szCs w:val="18"/>
                      </w:rPr>
                    </w:pPr>
                    <w:r w:rsidRPr="00CB72F5">
                      <w:rPr>
                        <w:rFonts w:cs="Arial"/>
                        <w:sz w:val="18"/>
                        <w:szCs w:val="18"/>
                      </w:rPr>
                      <w:t>Outline:</w:t>
                    </w:r>
                  </w:p>
                  <w:p w:rsidR="003863F9" w:rsidRDefault="003863F9" w:rsidP="001F5EED">
                    <w:pPr>
                      <w:pStyle w:val="Bullettable"/>
                      <w:ind w:left="720" w:hanging="360"/>
                      <w:contextualSpacing/>
                      <w:rPr>
                        <w:sz w:val="18"/>
                        <w:szCs w:val="18"/>
                      </w:rPr>
                    </w:pPr>
                    <w:r>
                      <w:rPr>
                        <w:sz w:val="18"/>
                        <w:szCs w:val="18"/>
                      </w:rPr>
                      <w:t>Person dedicated to leading this process</w:t>
                    </w:r>
                  </w:p>
                  <w:p w:rsidR="003863F9" w:rsidRDefault="003863F9" w:rsidP="001F5EED">
                    <w:pPr>
                      <w:pStyle w:val="Bullettable"/>
                      <w:ind w:left="720" w:hanging="360"/>
                      <w:contextualSpacing/>
                      <w:rPr>
                        <w:sz w:val="18"/>
                        <w:szCs w:val="18"/>
                      </w:rPr>
                    </w:pPr>
                    <w:r>
                      <w:rPr>
                        <w:sz w:val="18"/>
                        <w:szCs w:val="18"/>
                      </w:rPr>
                      <w:t>Key stages</w:t>
                    </w:r>
                  </w:p>
                  <w:p w:rsidR="003863F9" w:rsidRPr="00CB72F5" w:rsidRDefault="003863F9" w:rsidP="001F5EED">
                    <w:pPr>
                      <w:pStyle w:val="Bullettable"/>
                      <w:ind w:left="720" w:hanging="360"/>
                      <w:contextualSpacing/>
                      <w:rPr>
                        <w:sz w:val="18"/>
                        <w:szCs w:val="18"/>
                      </w:rPr>
                    </w:pPr>
                    <w:r>
                      <w:rPr>
                        <w:sz w:val="18"/>
                        <w:szCs w:val="18"/>
                      </w:rPr>
                      <w:t>Resource requirements</w:t>
                    </w:r>
                  </w:p>
                </w:txbxContent>
              </v:textbox>
            </v:rect>
          </v:group>
        </w:pict>
      </w:r>
    </w:p>
    <w:p w:rsidR="001F5EED" w:rsidRDefault="001F5EED" w:rsidP="001F5EED">
      <w:pPr>
        <w:pStyle w:val="StandardParagraph"/>
      </w:pPr>
    </w:p>
    <w:p w:rsidR="001F5EED" w:rsidRDefault="001F5EED" w:rsidP="001F5EED">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pPr>
      <w:r>
        <w:br w:type="page"/>
      </w:r>
    </w:p>
    <w:p w:rsidR="001F5EED" w:rsidRDefault="007F6BBC" w:rsidP="001F5EED">
      <w:pPr>
        <w:pStyle w:val="Heading1"/>
      </w:pPr>
      <w:r w:rsidRPr="007F6BBC">
        <w:rPr>
          <w:noProof/>
          <w:color w:val="FFFFFF" w:themeColor="background1"/>
          <w:lang w:eastAsia="en-GB"/>
        </w:rPr>
        <w:lastRenderedPageBreak/>
        <w:pict>
          <v:group id="_x0000_s1577" style="position:absolute;left:0;text-align:left;margin-left:0;margin-top:40.45pt;width:396pt;height:135.65pt;z-index:251892736" coordorigin="1440,2327" coordsize="7920,2713">
            <v:rect id="_x0000_s1578" style="position:absolute;left:5040;top:3047;width:4320;height:1993">
              <v:textbox style="mso-next-textbox:#_x0000_s1578">
                <w:txbxContent>
                  <w:p w:rsidR="003863F9" w:rsidRPr="00BE4669" w:rsidRDefault="003863F9" w:rsidP="001F5EED">
                    <w:pPr>
                      <w:spacing w:before="120" w:after="120" w:line="240" w:lineRule="auto"/>
                      <w:jc w:val="left"/>
                      <w:rPr>
                        <w:rFonts w:cs="Arial"/>
                        <w:sz w:val="18"/>
                        <w:szCs w:val="18"/>
                      </w:rPr>
                    </w:pPr>
                    <w:r w:rsidRPr="00BE4669">
                      <w:rPr>
                        <w:rFonts w:cs="Arial"/>
                        <w:sz w:val="18"/>
                        <w:szCs w:val="18"/>
                      </w:rPr>
                      <w:t>Outline:</w:t>
                    </w:r>
                  </w:p>
                  <w:p w:rsidR="003863F9" w:rsidRPr="00BE4669" w:rsidRDefault="003863F9" w:rsidP="001F5EED">
                    <w:pPr>
                      <w:pStyle w:val="Bullettable"/>
                      <w:ind w:left="720" w:hanging="360"/>
                      <w:contextualSpacing/>
                      <w:rPr>
                        <w:sz w:val="18"/>
                        <w:szCs w:val="18"/>
                      </w:rPr>
                    </w:pPr>
                    <w:r w:rsidRPr="00BE4669">
                      <w:rPr>
                        <w:sz w:val="18"/>
                        <w:szCs w:val="18"/>
                      </w:rPr>
                      <w:t>Reporting structure &amp; governance arrangements</w:t>
                    </w:r>
                  </w:p>
                  <w:p w:rsidR="003863F9" w:rsidRPr="00BE4669" w:rsidRDefault="003863F9" w:rsidP="001F5EED">
                    <w:pPr>
                      <w:pStyle w:val="Bullettable"/>
                      <w:ind w:left="720" w:hanging="360"/>
                      <w:contextualSpacing/>
                      <w:rPr>
                        <w:sz w:val="18"/>
                        <w:szCs w:val="18"/>
                      </w:rPr>
                    </w:pPr>
                    <w:r w:rsidRPr="00BE4669">
                      <w:rPr>
                        <w:sz w:val="18"/>
                        <w:szCs w:val="18"/>
                      </w:rPr>
                      <w:t>Key roles &amp; responsibilities</w:t>
                    </w:r>
                  </w:p>
                  <w:p w:rsidR="003863F9" w:rsidRPr="00BE4669" w:rsidRDefault="003863F9" w:rsidP="001F5EED">
                    <w:pPr>
                      <w:pStyle w:val="Bullettable"/>
                      <w:ind w:left="720" w:hanging="360"/>
                      <w:contextualSpacing/>
                      <w:rPr>
                        <w:sz w:val="18"/>
                        <w:szCs w:val="18"/>
                      </w:rPr>
                    </w:pPr>
                    <w:r w:rsidRPr="00BE4669">
                      <w:rPr>
                        <w:sz w:val="18"/>
                        <w:szCs w:val="18"/>
                      </w:rPr>
                      <w:t>Project recruitment needs</w:t>
                    </w:r>
                  </w:p>
                  <w:p w:rsidR="003863F9" w:rsidRPr="00BE4669" w:rsidRDefault="003863F9" w:rsidP="001F5EED">
                    <w:pPr>
                      <w:pStyle w:val="Bullettable"/>
                      <w:ind w:left="720" w:hanging="360"/>
                      <w:contextualSpacing/>
                      <w:rPr>
                        <w:sz w:val="18"/>
                        <w:szCs w:val="18"/>
                      </w:rPr>
                    </w:pPr>
                    <w:r w:rsidRPr="00BE4669">
                      <w:rPr>
                        <w:sz w:val="18"/>
                        <w:szCs w:val="18"/>
                      </w:rPr>
                      <w:t>Project plan</w:t>
                    </w:r>
                  </w:p>
                </w:txbxContent>
              </v:textbox>
            </v:rect>
            <v:rect id="_x0000_s1579" style="position:absolute;left:2400;top:3047;width:2400;height:1993;v-text-anchor:middle">
              <v:textbox style="mso-next-textbox:#_x0000_s1579">
                <w:txbxContent>
                  <w:p w:rsidR="003863F9" w:rsidRPr="00BE4669" w:rsidRDefault="003863F9" w:rsidP="001F5EED">
                    <w:pPr>
                      <w:spacing w:before="240" w:after="120" w:line="240" w:lineRule="auto"/>
                      <w:jc w:val="left"/>
                      <w:rPr>
                        <w:rFonts w:cs="Arial"/>
                        <w:sz w:val="20"/>
                      </w:rPr>
                    </w:pPr>
                    <w:r>
                      <w:rPr>
                        <w:rFonts w:cs="Arial"/>
                        <w:sz w:val="20"/>
                      </w:rPr>
                      <w:t xml:space="preserve">What project management arrangements are </w:t>
                    </w:r>
                    <w:r w:rsidRPr="00BE4669">
                      <w:rPr>
                        <w:rFonts w:cs="Arial"/>
                        <w:sz w:val="20"/>
                      </w:rPr>
                      <w:t>in place?</w:t>
                    </w:r>
                  </w:p>
                </w:txbxContent>
              </v:textbox>
            </v:rect>
            <v:rect id="_x0000_s1580" style="position:absolute;left:1440;top:3047;width:720;height:1993;v-text-anchor:middle" fillcolor="#bfbfbf [2412]">
              <v:textbox style="layout-flow:vertical;mso-layout-flow-alt:bottom-to-top;mso-next-textbox:#_x0000_s1580">
                <w:txbxContent>
                  <w:p w:rsidR="003863F9" w:rsidRPr="005B3097" w:rsidRDefault="003863F9" w:rsidP="001F5EED">
                    <w:pPr>
                      <w:spacing w:line="240" w:lineRule="auto"/>
                      <w:jc w:val="center"/>
                      <w:rPr>
                        <w:rFonts w:cs="Arial"/>
                        <w:b/>
                        <w:sz w:val="18"/>
                        <w:szCs w:val="18"/>
                      </w:rPr>
                    </w:pPr>
                    <w:r>
                      <w:rPr>
                        <w:rFonts w:cs="Arial"/>
                        <w:b/>
                        <w:sz w:val="18"/>
                        <w:szCs w:val="18"/>
                      </w:rPr>
                      <w:t xml:space="preserve">Project Management </w:t>
                    </w:r>
                  </w:p>
                </w:txbxContent>
              </v:textbox>
            </v:rect>
            <v:rect id="_x0000_s1581" style="position:absolute;left:5040;top:2327;width:4320;height:498;v-text-anchor:middle" fillcolor="#31849b [2408]">
              <v:textbox style="mso-next-textbox:#_x0000_s1581">
                <w:txbxContent>
                  <w:p w:rsidR="003863F9" w:rsidRPr="00EA7DFB" w:rsidRDefault="003863F9" w:rsidP="001F5EED">
                    <w:pPr>
                      <w:spacing w:line="240" w:lineRule="auto"/>
                      <w:jc w:val="center"/>
                      <w:rPr>
                        <w:rFonts w:cs="Arial"/>
                        <w:b/>
                        <w:color w:val="FFFFFF" w:themeColor="background1"/>
                        <w:szCs w:val="24"/>
                      </w:rPr>
                    </w:pPr>
                    <w:r w:rsidRPr="00EA7DFB">
                      <w:rPr>
                        <w:rFonts w:cs="Arial"/>
                        <w:b/>
                        <w:color w:val="FFFFFF" w:themeColor="background1"/>
                        <w:szCs w:val="24"/>
                      </w:rPr>
                      <w:t>Response</w:t>
                    </w:r>
                  </w:p>
                </w:txbxContent>
              </v:textbox>
            </v:rect>
            <v:rect id="_x0000_s1582" style="position:absolute;left:2400;top:2327;width:2400;height:498;v-text-anchor:middle" fillcolor="#31849b [2408]">
              <v:textbox style="mso-next-textbox:#_x0000_s1582">
                <w:txbxContent>
                  <w:p w:rsidR="003863F9" w:rsidRPr="00EA7DFB" w:rsidRDefault="003863F9" w:rsidP="001F5EED">
                    <w:pPr>
                      <w:spacing w:line="240" w:lineRule="auto"/>
                      <w:jc w:val="center"/>
                      <w:rPr>
                        <w:rFonts w:cs="Arial"/>
                        <w:b/>
                        <w:color w:val="FFFFFF" w:themeColor="background1"/>
                        <w:szCs w:val="24"/>
                      </w:rPr>
                    </w:pPr>
                    <w:r w:rsidRPr="00EA7DFB">
                      <w:rPr>
                        <w:rFonts w:cs="Arial"/>
                        <w:b/>
                        <w:color w:val="FFFFFF" w:themeColor="background1"/>
                        <w:szCs w:val="24"/>
                      </w:rPr>
                      <w:t>Question</w:t>
                    </w:r>
                  </w:p>
                </w:txbxContent>
              </v:textbox>
            </v:rect>
            <w10:wrap type="topAndBottom"/>
          </v:group>
        </w:pict>
      </w:r>
      <w:r w:rsidR="001F5EED">
        <w:t>Project Management Proposals</w:t>
      </w:r>
    </w:p>
    <w:p w:rsidR="001F5EED" w:rsidRDefault="001F5EED" w:rsidP="001F5EED">
      <w:pPr>
        <w:pStyle w:val="NoSpacing"/>
      </w:pPr>
    </w:p>
    <w:p w:rsidR="001F5EED" w:rsidRDefault="001F5EED" w:rsidP="001F5EED">
      <w:pPr>
        <w:pStyle w:val="Heading2"/>
      </w:pPr>
      <w:r>
        <w:t>Reporting structure and governance arrangements</w:t>
      </w:r>
    </w:p>
    <w:p w:rsidR="001F5EED" w:rsidRDefault="001F5EED" w:rsidP="001F5EED">
      <w:pPr>
        <w:pStyle w:val="StandardParagraph"/>
        <w:rPr>
          <w:rStyle w:val="Emphasis"/>
          <w:i w:val="0"/>
          <w:iCs w:val="0"/>
        </w:rPr>
      </w:pPr>
      <w:r>
        <w:rPr>
          <w:rStyle w:val="Emphasis"/>
          <w:i w:val="0"/>
          <w:iCs w:val="0"/>
        </w:rPr>
        <w:t>A</w:t>
      </w:r>
      <w:r w:rsidRPr="00235B8F">
        <w:rPr>
          <w:rStyle w:val="Emphasis"/>
          <w:i w:val="0"/>
          <w:iCs w:val="0"/>
        </w:rPr>
        <w:t xml:space="preserve"> diagram of the project organisation structure</w:t>
      </w:r>
      <w:r>
        <w:rPr>
          <w:rStyle w:val="Emphasis"/>
          <w:i w:val="0"/>
          <w:iCs w:val="0"/>
        </w:rPr>
        <w:t xml:space="preserve"> is required, with named individuals included where already appointed.  The project structure should be kept as lean and straightforward as possible whilst retaining an </w:t>
      </w:r>
      <w:r w:rsidRPr="00235B8F">
        <w:rPr>
          <w:rStyle w:val="Emphasis"/>
          <w:i w:val="0"/>
          <w:iCs w:val="0"/>
        </w:rPr>
        <w:t>assurance that the project will be well organised</w:t>
      </w:r>
      <w:r>
        <w:rPr>
          <w:rStyle w:val="Emphasis"/>
          <w:i w:val="0"/>
          <w:iCs w:val="0"/>
        </w:rPr>
        <w:t>.</w:t>
      </w:r>
      <w:r w:rsidRPr="00235B8F">
        <w:rPr>
          <w:rStyle w:val="Emphasis"/>
          <w:i w:val="0"/>
          <w:iCs w:val="0"/>
        </w:rPr>
        <w:t xml:space="preserve"> </w:t>
      </w:r>
    </w:p>
    <w:p w:rsidR="001F5EED" w:rsidRDefault="001F5EED" w:rsidP="001F5EED">
      <w:pPr>
        <w:pStyle w:val="StandardParagraph"/>
        <w:rPr>
          <w:rStyle w:val="Emphasis"/>
          <w:i w:val="0"/>
          <w:iCs w:val="0"/>
        </w:rPr>
      </w:pPr>
      <w:r>
        <w:rPr>
          <w:rStyle w:val="Emphasis"/>
          <w:i w:val="0"/>
          <w:iCs w:val="0"/>
        </w:rPr>
        <w:t>The following is an example of a typical project structure which outlines the appropriate reporting and governance arrangements for a project.  Such an example should be supplemented with an explanation of roles, responsibilities and suitability for each position, as explained in the following section:</w:t>
      </w:r>
    </w:p>
    <w:p w:rsidR="001F5EED" w:rsidRDefault="001F5EED" w:rsidP="001F5EED">
      <w:pPr>
        <w:pStyle w:val="StandardParagraph"/>
        <w:jc w:val="center"/>
        <w:rPr>
          <w:rStyle w:val="Emphasis"/>
          <w:i w:val="0"/>
          <w:iCs w:val="0"/>
        </w:rPr>
      </w:pPr>
      <w:r w:rsidRPr="009A5E7B">
        <w:rPr>
          <w:noProof/>
          <w:lang w:eastAsia="en-GB"/>
        </w:rPr>
        <w:drawing>
          <wp:inline distT="0" distB="0" distL="0" distR="0">
            <wp:extent cx="5731510" cy="3251872"/>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5731510" cy="3251872"/>
                    </a:xfrm>
                    <a:prstGeom prst="rect">
                      <a:avLst/>
                    </a:prstGeom>
                    <a:noFill/>
                    <a:ln w="9525">
                      <a:noFill/>
                      <a:miter lim="800000"/>
                      <a:headEnd/>
                      <a:tailEnd/>
                    </a:ln>
                  </pic:spPr>
                </pic:pic>
              </a:graphicData>
            </a:graphic>
          </wp:inline>
        </w:drawing>
      </w:r>
    </w:p>
    <w:p w:rsidR="001F5EED" w:rsidRDefault="001F5EED" w:rsidP="001F5EED">
      <w:pPr>
        <w:pStyle w:val="Heading2"/>
      </w:pPr>
      <w:r>
        <w:lastRenderedPageBreak/>
        <w:t>Key roles and responsibilities</w:t>
      </w:r>
    </w:p>
    <w:p w:rsidR="00040746" w:rsidRDefault="00040746" w:rsidP="00040746">
      <w:pPr>
        <w:pStyle w:val="Standardparagraph0"/>
      </w:pPr>
      <w:r>
        <w:t xml:space="preserve">The Board needs to demonstrate that suitable resources and skills are in place to deliver the project.  This should focus primarily in relation to the Senior Responsible Officer, Project Director and Lead Project Manager.  A skills assessment which provides a gap analysis and action plan should be included in this section of the OBC.  Boards should use the baseline skill set guidance to assist in this requirement (see SFT website for further details). </w:t>
      </w:r>
    </w:p>
    <w:p w:rsidR="001A04EC" w:rsidRDefault="001A04EC" w:rsidP="001A04EC">
      <w:pPr>
        <w:pStyle w:val="Standardparagraph0"/>
      </w:pPr>
      <w:r>
        <w:t xml:space="preserve">The </w:t>
      </w:r>
      <w:r>
        <w:rPr>
          <w:b/>
        </w:rPr>
        <w:t>Senior Responsible Officer</w:t>
      </w:r>
      <w:r w:rsidRPr="004D57B2">
        <w:rPr>
          <w:b/>
        </w:rPr>
        <w:t xml:space="preserve"> (SRO)</w:t>
      </w:r>
      <w:r>
        <w:t xml:space="preserve"> for the project needs to be a senior person within the organisation with the status and authority to provide the necessary leadership and clear accountability for the project’s success.  </w:t>
      </w:r>
      <w:r w:rsidR="00D84B57">
        <w:t xml:space="preserve">They will have </w:t>
      </w:r>
      <w:r w:rsidR="00D84B57" w:rsidRPr="001A04EC">
        <w:t>ultimate responsibility at Board</w:t>
      </w:r>
      <w:r w:rsidR="00D84B57">
        <w:t xml:space="preserve"> </w:t>
      </w:r>
      <w:r w:rsidR="00D84B57" w:rsidRPr="001A04EC">
        <w:t>/</w:t>
      </w:r>
      <w:r w:rsidR="00D84B57">
        <w:t xml:space="preserve"> </w:t>
      </w:r>
      <w:r w:rsidR="00D84B57" w:rsidRPr="001A04EC">
        <w:t>Executive level for delivery of the project’s benefits and the appropriate allocation of resources to ensure its success.</w:t>
      </w:r>
      <w:r w:rsidR="00D84B57">
        <w:t xml:space="preserve">  </w:t>
      </w:r>
    </w:p>
    <w:p w:rsidR="00D84B57" w:rsidRDefault="001A04EC" w:rsidP="001A04EC">
      <w:pPr>
        <w:pStyle w:val="Standardparagraph0"/>
      </w:pPr>
      <w:r>
        <w:t xml:space="preserve">The </w:t>
      </w:r>
      <w:r w:rsidRPr="004D57B2">
        <w:rPr>
          <w:b/>
        </w:rPr>
        <w:t>Project Director</w:t>
      </w:r>
      <w:r>
        <w:t xml:space="preserve"> needs to be someone who has adequate knowledge and information about the organisation and business operations to make informed decisions on behalf of the SRO.  </w:t>
      </w:r>
      <w:r w:rsidR="00D84B57">
        <w:t>They will be r</w:t>
      </w:r>
      <w:r w:rsidR="00D84B57" w:rsidRPr="00D84B57">
        <w:t>esponsible for the ongoing day to day management and decision making on behalf of the SRO to ensure that the desired project objectives are delivered.  They are also responsible for the development, maintenance, progress, and reporting of the business case to the SRO.</w:t>
      </w:r>
    </w:p>
    <w:p w:rsidR="00D84B57" w:rsidRDefault="00D84B57" w:rsidP="00D84B57">
      <w:pPr>
        <w:pStyle w:val="Standardparagraph0"/>
      </w:pPr>
      <w:r>
        <w:t xml:space="preserve">The </w:t>
      </w:r>
      <w:r w:rsidRPr="00EC0341">
        <w:rPr>
          <w:b/>
        </w:rPr>
        <w:t xml:space="preserve">Lead </w:t>
      </w:r>
      <w:r w:rsidRPr="007C6033">
        <w:rPr>
          <w:b/>
        </w:rPr>
        <w:t>Project Manager</w:t>
      </w:r>
      <w:r>
        <w:t xml:space="preserve"> will lead, manage and co-ordinate the project team on a day to day basis.  The person assigned to this role needs to be identified, along with confirmation of their experience and suitability for the role.  They will be r</w:t>
      </w:r>
      <w:r w:rsidRPr="00D84B57">
        <w:t>esponsible for leading, managing and coordinating the integrated project team on a day-to-day basis.</w:t>
      </w:r>
    </w:p>
    <w:p w:rsidR="000A1BB7" w:rsidRDefault="000A1BB7">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
        <w:br w:type="page"/>
      </w:r>
    </w:p>
    <w:p w:rsidR="001F5EED" w:rsidRDefault="001F5EED" w:rsidP="001F5EED">
      <w:pPr>
        <w:pStyle w:val="Standardparagraph0"/>
      </w:pPr>
      <w:r>
        <w:lastRenderedPageBreak/>
        <w:t xml:space="preserve">For projects where a </w:t>
      </w:r>
      <w:r w:rsidRPr="007C6033">
        <w:rPr>
          <w:b/>
        </w:rPr>
        <w:t>Project or Programme Board</w:t>
      </w:r>
      <w:r>
        <w:t xml:space="preserve"> is required to oversee the project (not always necessary for smaller and relatively straightforward projects) then members who ar</w:t>
      </w:r>
      <w:r w:rsidR="00D84B57">
        <w:t>e in addition to the above</w:t>
      </w:r>
      <w:r>
        <w:t xml:space="preserve"> roles should be recorded in a similar table to the following:</w:t>
      </w:r>
    </w:p>
    <w:tbl>
      <w:tblPr>
        <w:tblStyle w:val="TableGrid"/>
        <w:tblW w:w="10065"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679"/>
        <w:gridCol w:w="2268"/>
        <w:gridCol w:w="3118"/>
      </w:tblGrid>
      <w:tr w:rsidR="001F5EED" w:rsidRPr="0048589C" w:rsidTr="001F5EED">
        <w:tc>
          <w:tcPr>
            <w:tcW w:w="10065" w:type="dxa"/>
            <w:gridSpan w:val="3"/>
            <w:tcBorders>
              <w:top w:val="single" w:sz="12" w:space="0" w:color="auto"/>
              <w:bottom w:val="single" w:sz="6" w:space="0" w:color="auto"/>
            </w:tcBorders>
            <w:shd w:val="clear" w:color="auto" w:fill="31849B" w:themeFill="accent5" w:themeFillShade="BF"/>
          </w:tcPr>
          <w:p w:rsidR="001F5EED" w:rsidRPr="0048589C" w:rsidRDefault="001F5EED" w:rsidP="001F5EED">
            <w:pPr>
              <w:pStyle w:val="Standardparatable"/>
              <w:rPr>
                <w:b/>
                <w:color w:val="FFFFFF" w:themeColor="background1"/>
              </w:rPr>
            </w:pPr>
            <w:r w:rsidRPr="0048589C">
              <w:rPr>
                <w:b/>
                <w:color w:val="FFFFFF" w:themeColor="background1"/>
              </w:rPr>
              <w:t xml:space="preserve">Project </w:t>
            </w:r>
            <w:r>
              <w:rPr>
                <w:b/>
                <w:color w:val="FFFFFF" w:themeColor="background1"/>
              </w:rPr>
              <w:t xml:space="preserve">/ Programme </w:t>
            </w:r>
            <w:r w:rsidRPr="0048589C">
              <w:rPr>
                <w:b/>
                <w:color w:val="FFFFFF" w:themeColor="background1"/>
              </w:rPr>
              <w:t>Board Members:</w:t>
            </w:r>
          </w:p>
        </w:tc>
      </w:tr>
      <w:tr w:rsidR="001F5EED" w:rsidRPr="0048589C" w:rsidTr="001F5EED">
        <w:tc>
          <w:tcPr>
            <w:tcW w:w="4679" w:type="dxa"/>
            <w:tcBorders>
              <w:top w:val="single" w:sz="6" w:space="0" w:color="auto"/>
              <w:bottom w:val="single" w:sz="6" w:space="0" w:color="auto"/>
            </w:tcBorders>
            <w:shd w:val="clear" w:color="auto" w:fill="92CDDC" w:themeFill="accent5" w:themeFillTint="99"/>
            <w:vAlign w:val="center"/>
          </w:tcPr>
          <w:p w:rsidR="001F5EED" w:rsidRPr="0048589C" w:rsidRDefault="001F5EED" w:rsidP="001F5EED">
            <w:pPr>
              <w:pStyle w:val="Standardparatable"/>
              <w:jc w:val="center"/>
              <w:rPr>
                <w:b/>
              </w:rPr>
            </w:pPr>
            <w:r w:rsidRPr="0048589C">
              <w:rPr>
                <w:b/>
              </w:rPr>
              <w:t>Project role &amp; main responsibilities:</w:t>
            </w:r>
          </w:p>
        </w:tc>
        <w:tc>
          <w:tcPr>
            <w:tcW w:w="2268" w:type="dxa"/>
            <w:tcBorders>
              <w:top w:val="single" w:sz="6" w:space="0" w:color="auto"/>
              <w:bottom w:val="single" w:sz="6" w:space="0" w:color="auto"/>
            </w:tcBorders>
            <w:shd w:val="clear" w:color="auto" w:fill="92CDDC" w:themeFill="accent5" w:themeFillTint="99"/>
            <w:vAlign w:val="center"/>
          </w:tcPr>
          <w:p w:rsidR="001F5EED" w:rsidRPr="0048589C" w:rsidRDefault="001F5EED" w:rsidP="001F5EED">
            <w:pPr>
              <w:pStyle w:val="Standardparatable"/>
              <w:jc w:val="center"/>
              <w:rPr>
                <w:b/>
              </w:rPr>
            </w:pPr>
            <w:r w:rsidRPr="0048589C">
              <w:rPr>
                <w:b/>
              </w:rPr>
              <w:t>Named person:</w:t>
            </w:r>
          </w:p>
        </w:tc>
        <w:tc>
          <w:tcPr>
            <w:tcW w:w="3118" w:type="dxa"/>
            <w:tcBorders>
              <w:top w:val="single" w:sz="6" w:space="0" w:color="auto"/>
              <w:bottom w:val="single" w:sz="6" w:space="0" w:color="auto"/>
            </w:tcBorders>
            <w:shd w:val="clear" w:color="auto" w:fill="92CDDC" w:themeFill="accent5" w:themeFillTint="99"/>
            <w:vAlign w:val="center"/>
          </w:tcPr>
          <w:p w:rsidR="001F5EED" w:rsidRPr="0048589C" w:rsidRDefault="001F5EED" w:rsidP="001F5EED">
            <w:pPr>
              <w:pStyle w:val="Standardparatable"/>
              <w:jc w:val="center"/>
              <w:rPr>
                <w:b/>
              </w:rPr>
            </w:pPr>
            <w:r w:rsidRPr="0048589C">
              <w:rPr>
                <w:b/>
              </w:rPr>
              <w:t xml:space="preserve">Experience of similar </w:t>
            </w:r>
            <w:r>
              <w:rPr>
                <w:b/>
              </w:rPr>
              <w:t xml:space="preserve">project </w:t>
            </w:r>
            <w:r w:rsidRPr="0048589C">
              <w:rPr>
                <w:b/>
              </w:rPr>
              <w:t>roles:</w:t>
            </w:r>
          </w:p>
        </w:tc>
      </w:tr>
      <w:tr w:rsidR="001F5EED" w:rsidTr="001F5EED">
        <w:tc>
          <w:tcPr>
            <w:tcW w:w="4679" w:type="dxa"/>
          </w:tcPr>
          <w:p w:rsidR="001F5EED" w:rsidRDefault="001F5EED" w:rsidP="001F5EED">
            <w:pPr>
              <w:pStyle w:val="Standardparatable"/>
            </w:pPr>
            <w:r w:rsidRPr="005D79E4">
              <w:rPr>
                <w:b/>
              </w:rPr>
              <w:t xml:space="preserve">Organisation’s </w:t>
            </w:r>
            <w:r>
              <w:rPr>
                <w:b/>
              </w:rPr>
              <w:t xml:space="preserve">senior business / finance representative - </w:t>
            </w:r>
            <w:r>
              <w:rPr>
                <w:sz w:val="18"/>
                <w:szCs w:val="18"/>
              </w:rPr>
              <w:t>R</w:t>
            </w:r>
            <w:r w:rsidRPr="000702F8">
              <w:rPr>
                <w:sz w:val="18"/>
                <w:szCs w:val="18"/>
              </w:rPr>
              <w:t>epresent</w:t>
            </w:r>
            <w:r>
              <w:rPr>
                <w:sz w:val="18"/>
                <w:szCs w:val="18"/>
              </w:rPr>
              <w:t>ing</w:t>
            </w:r>
            <w:r w:rsidRPr="000702F8">
              <w:rPr>
                <w:sz w:val="18"/>
                <w:szCs w:val="18"/>
              </w:rPr>
              <w:t xml:space="preserve"> the organisation’s business &amp; financial interests</w:t>
            </w:r>
            <w:r>
              <w:t>.</w:t>
            </w:r>
          </w:p>
        </w:tc>
        <w:tc>
          <w:tcPr>
            <w:tcW w:w="2268" w:type="dxa"/>
          </w:tcPr>
          <w:p w:rsidR="001F5EED" w:rsidRDefault="001F5EED" w:rsidP="001F5EED">
            <w:pPr>
              <w:pStyle w:val="Standardparatable"/>
            </w:pPr>
          </w:p>
        </w:tc>
        <w:tc>
          <w:tcPr>
            <w:tcW w:w="3118" w:type="dxa"/>
          </w:tcPr>
          <w:p w:rsidR="001F5EED" w:rsidRDefault="001F5EED" w:rsidP="001F5EED">
            <w:pPr>
              <w:pStyle w:val="Standardparatable"/>
            </w:pPr>
          </w:p>
        </w:tc>
      </w:tr>
      <w:tr w:rsidR="001F5EED" w:rsidTr="001F5EED">
        <w:tc>
          <w:tcPr>
            <w:tcW w:w="4679" w:type="dxa"/>
          </w:tcPr>
          <w:p w:rsidR="001F5EED" w:rsidRPr="000702F8" w:rsidRDefault="001F5EED" w:rsidP="001F5EED">
            <w:pPr>
              <w:pStyle w:val="Standardparatable"/>
              <w:rPr>
                <w:sz w:val="18"/>
                <w:szCs w:val="18"/>
              </w:rPr>
            </w:pPr>
            <w:r>
              <w:rPr>
                <w:b/>
              </w:rPr>
              <w:t>Senior s</w:t>
            </w:r>
            <w:r w:rsidRPr="005D79E4">
              <w:rPr>
                <w:b/>
              </w:rPr>
              <w:t xml:space="preserve">ervice </w:t>
            </w:r>
            <w:r>
              <w:rPr>
                <w:b/>
              </w:rPr>
              <w:t xml:space="preserve">representative - </w:t>
            </w:r>
            <w:r>
              <w:rPr>
                <w:sz w:val="18"/>
                <w:szCs w:val="18"/>
              </w:rPr>
              <w:t>R</w:t>
            </w:r>
            <w:r w:rsidRPr="000702F8">
              <w:rPr>
                <w:sz w:val="18"/>
                <w:szCs w:val="18"/>
              </w:rPr>
              <w:t>epresent</w:t>
            </w:r>
            <w:r>
              <w:rPr>
                <w:sz w:val="18"/>
                <w:szCs w:val="18"/>
              </w:rPr>
              <w:t>ing</w:t>
            </w:r>
            <w:r w:rsidRPr="000702F8">
              <w:rPr>
                <w:sz w:val="18"/>
                <w:szCs w:val="18"/>
              </w:rPr>
              <w:t xml:space="preserve"> the end user interests.</w:t>
            </w:r>
          </w:p>
        </w:tc>
        <w:tc>
          <w:tcPr>
            <w:tcW w:w="2268" w:type="dxa"/>
          </w:tcPr>
          <w:p w:rsidR="001F5EED" w:rsidRDefault="001F5EED" w:rsidP="001F5EED">
            <w:pPr>
              <w:pStyle w:val="Standardparatable"/>
            </w:pPr>
          </w:p>
        </w:tc>
        <w:tc>
          <w:tcPr>
            <w:tcW w:w="3118" w:type="dxa"/>
          </w:tcPr>
          <w:p w:rsidR="001F5EED" w:rsidRDefault="001F5EED" w:rsidP="001F5EED">
            <w:pPr>
              <w:pStyle w:val="Standardparatable"/>
            </w:pPr>
          </w:p>
        </w:tc>
      </w:tr>
      <w:tr w:rsidR="001F5EED" w:rsidTr="001F5EED">
        <w:tc>
          <w:tcPr>
            <w:tcW w:w="4679" w:type="dxa"/>
          </w:tcPr>
          <w:p w:rsidR="001F5EED" w:rsidRPr="000702F8" w:rsidRDefault="001F5EED" w:rsidP="001F5EED">
            <w:pPr>
              <w:pStyle w:val="Standardparatable"/>
              <w:rPr>
                <w:sz w:val="18"/>
                <w:szCs w:val="18"/>
              </w:rPr>
            </w:pPr>
            <w:r w:rsidRPr="005D79E4">
              <w:rPr>
                <w:b/>
              </w:rPr>
              <w:t>Senior Technical / Esta</w:t>
            </w:r>
            <w:r>
              <w:rPr>
                <w:b/>
              </w:rPr>
              <w:t xml:space="preserve">tes / Facilities representative - </w:t>
            </w:r>
            <w:r>
              <w:rPr>
                <w:sz w:val="18"/>
                <w:szCs w:val="18"/>
              </w:rPr>
              <w:t>Re</w:t>
            </w:r>
            <w:r w:rsidRPr="000702F8">
              <w:rPr>
                <w:sz w:val="18"/>
                <w:szCs w:val="18"/>
              </w:rPr>
              <w:t>present</w:t>
            </w:r>
            <w:r>
              <w:rPr>
                <w:sz w:val="18"/>
                <w:szCs w:val="18"/>
              </w:rPr>
              <w:t>ing</w:t>
            </w:r>
            <w:r w:rsidRPr="000702F8">
              <w:rPr>
                <w:sz w:val="18"/>
                <w:szCs w:val="18"/>
              </w:rPr>
              <w:t xml:space="preserve"> the technical aspects of the project</w:t>
            </w:r>
          </w:p>
        </w:tc>
        <w:tc>
          <w:tcPr>
            <w:tcW w:w="2268" w:type="dxa"/>
          </w:tcPr>
          <w:p w:rsidR="001F5EED" w:rsidRDefault="001F5EED" w:rsidP="001F5EED">
            <w:pPr>
              <w:pStyle w:val="Standardparatable"/>
            </w:pPr>
          </w:p>
        </w:tc>
        <w:tc>
          <w:tcPr>
            <w:tcW w:w="3118" w:type="dxa"/>
          </w:tcPr>
          <w:p w:rsidR="001F5EED" w:rsidRDefault="001F5EED" w:rsidP="001F5EED">
            <w:pPr>
              <w:pStyle w:val="Standardparatable"/>
            </w:pPr>
          </w:p>
        </w:tc>
      </w:tr>
      <w:tr w:rsidR="001F5EED" w:rsidTr="001F5EED">
        <w:tc>
          <w:tcPr>
            <w:tcW w:w="4679" w:type="dxa"/>
          </w:tcPr>
          <w:p w:rsidR="001F5EED" w:rsidRPr="000702F8" w:rsidRDefault="001F5EED" w:rsidP="001F5EED">
            <w:pPr>
              <w:pStyle w:val="Standardparatable"/>
              <w:rPr>
                <w:sz w:val="18"/>
                <w:szCs w:val="18"/>
              </w:rPr>
            </w:pPr>
            <w:r>
              <w:rPr>
                <w:b/>
              </w:rPr>
              <w:t xml:space="preserve">Stakeholder representative(s) - </w:t>
            </w:r>
            <w:r>
              <w:rPr>
                <w:sz w:val="18"/>
                <w:szCs w:val="18"/>
              </w:rPr>
              <w:t>Re</w:t>
            </w:r>
            <w:r w:rsidRPr="000702F8">
              <w:rPr>
                <w:sz w:val="18"/>
                <w:szCs w:val="18"/>
              </w:rPr>
              <w:t>present</w:t>
            </w:r>
            <w:r>
              <w:rPr>
                <w:sz w:val="18"/>
                <w:szCs w:val="18"/>
              </w:rPr>
              <w:t>ing</w:t>
            </w:r>
            <w:r w:rsidRPr="000702F8">
              <w:rPr>
                <w:sz w:val="18"/>
                <w:szCs w:val="18"/>
              </w:rPr>
              <w:t xml:space="preserve"> stakeholders’ interests:</w:t>
            </w:r>
          </w:p>
        </w:tc>
        <w:tc>
          <w:tcPr>
            <w:tcW w:w="2268" w:type="dxa"/>
          </w:tcPr>
          <w:p w:rsidR="001F5EED" w:rsidRDefault="001F5EED" w:rsidP="001F5EED">
            <w:pPr>
              <w:pStyle w:val="Standardparatable"/>
            </w:pPr>
          </w:p>
        </w:tc>
        <w:tc>
          <w:tcPr>
            <w:tcW w:w="3118" w:type="dxa"/>
          </w:tcPr>
          <w:p w:rsidR="001F5EED" w:rsidRDefault="001F5EED" w:rsidP="001F5EED">
            <w:pPr>
              <w:pStyle w:val="Standardparatable"/>
            </w:pPr>
          </w:p>
        </w:tc>
      </w:tr>
    </w:tbl>
    <w:p w:rsidR="001F5EED" w:rsidRPr="00CA6E44" w:rsidRDefault="001F5EED" w:rsidP="001F5EED">
      <w:pPr>
        <w:pStyle w:val="NoSpacing"/>
      </w:pPr>
    </w:p>
    <w:p w:rsidR="001F5EED" w:rsidRDefault="001F5EED" w:rsidP="001F5EED">
      <w:pPr>
        <w:pStyle w:val="NoSpacing"/>
      </w:pPr>
    </w:p>
    <w:p w:rsidR="001F5EED" w:rsidRDefault="001F5EED" w:rsidP="001F5EED">
      <w:pPr>
        <w:pStyle w:val="Standardparagraph0"/>
      </w:pPr>
      <w:r>
        <w:t>All Independent Client Advisors assigned to the project should be named</w:t>
      </w:r>
      <w:r w:rsidRPr="004965EE">
        <w:t xml:space="preserve"> </w:t>
      </w:r>
      <w:r>
        <w:t xml:space="preserve">in the following table, along with their employer organisation.  NHS Boards should consider the suitability and availability of knowledge and resources from within the NHS and other public sector organisations before considering the use of external consultants, particularly when another NHS Board may have recently delivered a similar project to the one being considered here. </w:t>
      </w:r>
    </w:p>
    <w:tbl>
      <w:tblPr>
        <w:tblStyle w:val="TableGrid"/>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3510"/>
        <w:gridCol w:w="5670"/>
      </w:tblGrid>
      <w:tr w:rsidR="001F5EED" w:rsidRPr="0048589C" w:rsidTr="001F5EED">
        <w:tc>
          <w:tcPr>
            <w:tcW w:w="9180" w:type="dxa"/>
            <w:gridSpan w:val="2"/>
            <w:tcBorders>
              <w:top w:val="single" w:sz="12" w:space="0" w:color="auto"/>
              <w:bottom w:val="single" w:sz="6" w:space="0" w:color="auto"/>
            </w:tcBorders>
            <w:shd w:val="clear" w:color="auto" w:fill="31849B" w:themeFill="accent5" w:themeFillShade="BF"/>
          </w:tcPr>
          <w:p w:rsidR="001F5EED" w:rsidRPr="0048589C" w:rsidRDefault="001F5EED" w:rsidP="001F5EED">
            <w:pPr>
              <w:pStyle w:val="Standardparatable"/>
              <w:rPr>
                <w:b/>
                <w:color w:val="FFFFFF" w:themeColor="background1"/>
              </w:rPr>
            </w:pPr>
            <w:r>
              <w:rPr>
                <w:b/>
                <w:color w:val="FFFFFF" w:themeColor="background1"/>
              </w:rPr>
              <w:t>Independent Client Advisors</w:t>
            </w:r>
            <w:r w:rsidRPr="0048589C">
              <w:rPr>
                <w:b/>
                <w:color w:val="FFFFFF" w:themeColor="background1"/>
              </w:rPr>
              <w:t>:</w:t>
            </w:r>
          </w:p>
        </w:tc>
      </w:tr>
      <w:tr w:rsidR="001F5EED" w:rsidRPr="0048589C" w:rsidTr="001F5EED">
        <w:tc>
          <w:tcPr>
            <w:tcW w:w="3510" w:type="dxa"/>
            <w:tcBorders>
              <w:top w:val="single" w:sz="6" w:space="0" w:color="auto"/>
            </w:tcBorders>
            <w:shd w:val="clear" w:color="auto" w:fill="92CDDC" w:themeFill="accent5" w:themeFillTint="99"/>
            <w:vAlign w:val="center"/>
          </w:tcPr>
          <w:p w:rsidR="001F5EED" w:rsidRPr="0048589C" w:rsidRDefault="001F5EED" w:rsidP="001F5EED">
            <w:pPr>
              <w:pStyle w:val="Standardparatable"/>
              <w:jc w:val="center"/>
              <w:rPr>
                <w:b/>
              </w:rPr>
            </w:pPr>
            <w:r w:rsidRPr="0048589C">
              <w:rPr>
                <w:b/>
              </w:rPr>
              <w:t>Project role</w:t>
            </w:r>
            <w:r>
              <w:rPr>
                <w:b/>
              </w:rPr>
              <w:t>:</w:t>
            </w:r>
          </w:p>
        </w:tc>
        <w:tc>
          <w:tcPr>
            <w:tcW w:w="5670" w:type="dxa"/>
            <w:tcBorders>
              <w:top w:val="single" w:sz="6" w:space="0" w:color="auto"/>
            </w:tcBorders>
            <w:shd w:val="clear" w:color="auto" w:fill="92CDDC" w:themeFill="accent5" w:themeFillTint="99"/>
            <w:vAlign w:val="center"/>
          </w:tcPr>
          <w:p w:rsidR="001F5EED" w:rsidRPr="0048589C" w:rsidRDefault="001F5EED" w:rsidP="001F5EED">
            <w:pPr>
              <w:pStyle w:val="Standardparatable"/>
              <w:jc w:val="center"/>
              <w:rPr>
                <w:b/>
              </w:rPr>
            </w:pPr>
            <w:r>
              <w:rPr>
                <w:b/>
              </w:rPr>
              <w:t>Organisation &amp; Named lead:</w:t>
            </w:r>
          </w:p>
        </w:tc>
      </w:tr>
      <w:tr w:rsidR="00CC4B9F" w:rsidTr="00394862">
        <w:tc>
          <w:tcPr>
            <w:tcW w:w="3510" w:type="dxa"/>
          </w:tcPr>
          <w:p w:rsidR="00CC4B9F" w:rsidRDefault="00CC4B9F" w:rsidP="00394862">
            <w:pPr>
              <w:pStyle w:val="Standardparatable"/>
            </w:pPr>
            <w:r>
              <w:t>Clinical / service lead:</w:t>
            </w:r>
          </w:p>
        </w:tc>
        <w:tc>
          <w:tcPr>
            <w:tcW w:w="5670" w:type="dxa"/>
          </w:tcPr>
          <w:p w:rsidR="00CC4B9F" w:rsidRDefault="00CC4B9F" w:rsidP="00394862">
            <w:pPr>
              <w:pStyle w:val="Standardparatable"/>
            </w:pPr>
          </w:p>
        </w:tc>
      </w:tr>
      <w:tr w:rsidR="001F5EED" w:rsidTr="001F5EED">
        <w:tc>
          <w:tcPr>
            <w:tcW w:w="3510" w:type="dxa"/>
          </w:tcPr>
          <w:p w:rsidR="001F5EED" w:rsidRDefault="001F5EED" w:rsidP="001F5EED">
            <w:pPr>
              <w:pStyle w:val="Standardparatable"/>
            </w:pPr>
            <w:r>
              <w:t>Project Manager:</w:t>
            </w:r>
          </w:p>
        </w:tc>
        <w:tc>
          <w:tcPr>
            <w:tcW w:w="5670" w:type="dxa"/>
          </w:tcPr>
          <w:p w:rsidR="001F5EED" w:rsidRDefault="001F5EED" w:rsidP="001F5EED">
            <w:pPr>
              <w:pStyle w:val="Standardparatable"/>
            </w:pPr>
          </w:p>
        </w:tc>
      </w:tr>
      <w:tr w:rsidR="001F5EED" w:rsidTr="001F5EED">
        <w:tc>
          <w:tcPr>
            <w:tcW w:w="3510" w:type="dxa"/>
          </w:tcPr>
          <w:p w:rsidR="001F5EED" w:rsidRDefault="001F5EED" w:rsidP="001F5EED">
            <w:pPr>
              <w:pStyle w:val="Standardparatable"/>
            </w:pPr>
            <w:r>
              <w:t>Business Case author:</w:t>
            </w:r>
          </w:p>
        </w:tc>
        <w:tc>
          <w:tcPr>
            <w:tcW w:w="5670" w:type="dxa"/>
          </w:tcPr>
          <w:p w:rsidR="001F5EED" w:rsidRDefault="001F5EED" w:rsidP="001F5EED">
            <w:pPr>
              <w:pStyle w:val="Standardparatable"/>
            </w:pPr>
          </w:p>
        </w:tc>
      </w:tr>
      <w:tr w:rsidR="001F5EED" w:rsidTr="001F5EED">
        <w:tc>
          <w:tcPr>
            <w:tcW w:w="3510" w:type="dxa"/>
          </w:tcPr>
          <w:p w:rsidR="001F5EED" w:rsidRDefault="001F5EED" w:rsidP="001F5EED">
            <w:pPr>
              <w:pStyle w:val="Standardparatable"/>
            </w:pPr>
            <w:r>
              <w:t>Technical advisor:</w:t>
            </w:r>
          </w:p>
        </w:tc>
        <w:tc>
          <w:tcPr>
            <w:tcW w:w="5670" w:type="dxa"/>
          </w:tcPr>
          <w:p w:rsidR="001F5EED" w:rsidRDefault="001F5EED" w:rsidP="001F5EED">
            <w:pPr>
              <w:pStyle w:val="Standardparatable"/>
            </w:pPr>
          </w:p>
        </w:tc>
      </w:tr>
      <w:tr w:rsidR="001F5EED" w:rsidTr="001F5EED">
        <w:tc>
          <w:tcPr>
            <w:tcW w:w="3510" w:type="dxa"/>
          </w:tcPr>
          <w:p w:rsidR="001F5EED" w:rsidRDefault="001F5EED" w:rsidP="001F5EED">
            <w:pPr>
              <w:pStyle w:val="Standardparatable"/>
            </w:pPr>
            <w:r>
              <w:lastRenderedPageBreak/>
              <w:t>Financial advisor</w:t>
            </w:r>
          </w:p>
        </w:tc>
        <w:tc>
          <w:tcPr>
            <w:tcW w:w="5670" w:type="dxa"/>
          </w:tcPr>
          <w:p w:rsidR="001F5EED" w:rsidRDefault="001F5EED" w:rsidP="001F5EED">
            <w:pPr>
              <w:pStyle w:val="Standardparatable"/>
            </w:pPr>
          </w:p>
        </w:tc>
      </w:tr>
      <w:tr w:rsidR="001F5EED" w:rsidTr="001F5EED">
        <w:tc>
          <w:tcPr>
            <w:tcW w:w="3510" w:type="dxa"/>
          </w:tcPr>
          <w:p w:rsidR="001F5EED" w:rsidRDefault="001F5EED" w:rsidP="001F5EED">
            <w:pPr>
              <w:pStyle w:val="Standardparatable"/>
            </w:pPr>
            <w:r>
              <w:t>Legal advisor</w:t>
            </w:r>
          </w:p>
        </w:tc>
        <w:tc>
          <w:tcPr>
            <w:tcW w:w="5670" w:type="dxa"/>
          </w:tcPr>
          <w:p w:rsidR="001F5EED" w:rsidRDefault="001F5EED" w:rsidP="001F5EED">
            <w:pPr>
              <w:pStyle w:val="Standardparatable"/>
            </w:pPr>
          </w:p>
        </w:tc>
      </w:tr>
      <w:tr w:rsidR="001F5EED" w:rsidTr="001F5EED">
        <w:tc>
          <w:tcPr>
            <w:tcW w:w="3510" w:type="dxa"/>
          </w:tcPr>
          <w:p w:rsidR="001F5EED" w:rsidRDefault="001F5EED" w:rsidP="001F5EED">
            <w:pPr>
              <w:pStyle w:val="Standardparatable"/>
            </w:pPr>
            <w:r>
              <w:t>IM&amp;T advisor</w:t>
            </w:r>
          </w:p>
        </w:tc>
        <w:tc>
          <w:tcPr>
            <w:tcW w:w="5670" w:type="dxa"/>
          </w:tcPr>
          <w:p w:rsidR="001F5EED" w:rsidRDefault="001F5EED" w:rsidP="001F5EED">
            <w:pPr>
              <w:pStyle w:val="Standardparatable"/>
            </w:pPr>
          </w:p>
        </w:tc>
      </w:tr>
      <w:tr w:rsidR="001F5EED" w:rsidTr="001F5EED">
        <w:tc>
          <w:tcPr>
            <w:tcW w:w="3510" w:type="dxa"/>
          </w:tcPr>
          <w:p w:rsidR="001F5EED" w:rsidRDefault="001F5EED" w:rsidP="001F5EED">
            <w:pPr>
              <w:pStyle w:val="Standardparatable"/>
            </w:pPr>
            <w:r>
              <w:t>Medical equipment advisor</w:t>
            </w:r>
          </w:p>
        </w:tc>
        <w:tc>
          <w:tcPr>
            <w:tcW w:w="5670" w:type="dxa"/>
          </w:tcPr>
          <w:p w:rsidR="001F5EED" w:rsidRDefault="001F5EED" w:rsidP="001F5EED">
            <w:pPr>
              <w:pStyle w:val="Standardparatable"/>
            </w:pPr>
          </w:p>
        </w:tc>
      </w:tr>
      <w:tr w:rsidR="001F5EED" w:rsidTr="001F5EED">
        <w:tc>
          <w:tcPr>
            <w:tcW w:w="3510" w:type="dxa"/>
          </w:tcPr>
          <w:p w:rsidR="001F5EED" w:rsidRDefault="001F5EED" w:rsidP="001F5EED">
            <w:pPr>
              <w:pStyle w:val="Standardparatable"/>
            </w:pPr>
            <w:r>
              <w:t>Commissioning advisor</w:t>
            </w:r>
          </w:p>
        </w:tc>
        <w:tc>
          <w:tcPr>
            <w:tcW w:w="5670" w:type="dxa"/>
          </w:tcPr>
          <w:p w:rsidR="001F5EED" w:rsidRDefault="001F5EED" w:rsidP="001F5EED">
            <w:pPr>
              <w:pStyle w:val="Standardparatable"/>
            </w:pPr>
          </w:p>
        </w:tc>
      </w:tr>
      <w:tr w:rsidR="001F5EED" w:rsidTr="001F5EED">
        <w:tc>
          <w:tcPr>
            <w:tcW w:w="3510" w:type="dxa"/>
          </w:tcPr>
          <w:p w:rsidR="001F5EED" w:rsidRDefault="001F5EED" w:rsidP="001F5EED">
            <w:pPr>
              <w:pStyle w:val="Standardparatable"/>
            </w:pPr>
            <w:r>
              <w:t>Other advisors:</w:t>
            </w:r>
          </w:p>
          <w:p w:rsidR="001F5EED" w:rsidRDefault="001F5EED" w:rsidP="001F5EED">
            <w:pPr>
              <w:pStyle w:val="Standardparatable"/>
            </w:pPr>
          </w:p>
        </w:tc>
        <w:tc>
          <w:tcPr>
            <w:tcW w:w="5670" w:type="dxa"/>
          </w:tcPr>
          <w:p w:rsidR="001F5EED" w:rsidRDefault="001F5EED" w:rsidP="001F5EED">
            <w:pPr>
              <w:pStyle w:val="Standardparatable"/>
            </w:pPr>
          </w:p>
        </w:tc>
      </w:tr>
    </w:tbl>
    <w:p w:rsidR="001F5EED" w:rsidRPr="0048589C" w:rsidRDefault="001F5EED" w:rsidP="001F5EED">
      <w:pPr>
        <w:pStyle w:val="NoSpacing"/>
      </w:pPr>
      <w:r>
        <w:t>Note: not all advisors listed above will be required for every project and some roles may be combined for delivery by a single individual.</w:t>
      </w:r>
    </w:p>
    <w:p w:rsidR="001F5EED" w:rsidRDefault="001F5EED" w:rsidP="001F5EED">
      <w:pPr>
        <w:pStyle w:val="NoSpacing"/>
      </w:pPr>
    </w:p>
    <w:p w:rsidR="001F5EED" w:rsidRDefault="001F5EED" w:rsidP="001F5EED">
      <w:pPr>
        <w:pStyle w:val="Standardparagraph0"/>
      </w:pPr>
      <w:r>
        <w:t xml:space="preserve">Note that the </w:t>
      </w:r>
      <w:r w:rsidRPr="00E45944">
        <w:rPr>
          <w:b/>
        </w:rPr>
        <w:t xml:space="preserve">Supply </w:t>
      </w:r>
      <w:r>
        <w:rPr>
          <w:b/>
        </w:rPr>
        <w:t xml:space="preserve">/ Construction </w:t>
      </w:r>
      <w:r w:rsidRPr="00E45944">
        <w:rPr>
          <w:b/>
        </w:rPr>
        <w:t>Team Details</w:t>
      </w:r>
      <w:r>
        <w:t xml:space="preserve"> should be included within the Commercial Case. </w:t>
      </w:r>
    </w:p>
    <w:p w:rsidR="001F5EED" w:rsidRDefault="001F5EED" w:rsidP="001F5EED">
      <w:pPr>
        <w:pStyle w:val="Heading2"/>
      </w:pPr>
      <w:r>
        <w:t>Project recruitment needs</w:t>
      </w:r>
    </w:p>
    <w:p w:rsidR="001F5EED" w:rsidRDefault="001F5EED" w:rsidP="001F5EED">
      <w:pPr>
        <w:pStyle w:val="Standardparagraph0"/>
      </w:pPr>
      <w:r>
        <w:t>This section is to be used to identify any resource gaps in the project structure which includes the intended plan to fill those roles.  This may identify, where appropriate, the planned use of shared support from other NHS Boards, or other parts of the public sector that have similar relevant experience.</w:t>
      </w:r>
    </w:p>
    <w:p w:rsidR="001F5EED" w:rsidRDefault="001F5EED" w:rsidP="001F5EED">
      <w:pPr>
        <w:pStyle w:val="Standardparagraph0"/>
      </w:pPr>
      <w:r>
        <w:t xml:space="preserve">External advisers may be considered where the necessary skills and capabilities are limited or in short supply; especially in the case of large, significant, complex and novel schemes.  In such cases, this aspect of recruitment should make reference to the external advisors’ procurement plans in the Commercial Case.  </w:t>
      </w:r>
    </w:p>
    <w:p w:rsidR="001F5EED" w:rsidRDefault="001F5EED" w:rsidP="001F5EED">
      <w:pPr>
        <w:pStyle w:val="Heading2"/>
      </w:pPr>
      <w:r>
        <w:t>Project plan and key milestones</w:t>
      </w:r>
    </w:p>
    <w:p w:rsidR="001F5EED" w:rsidRDefault="001F5EED" w:rsidP="001F5EED">
      <w:pPr>
        <w:pStyle w:val="StandardParagraph"/>
        <w:jc w:val="both"/>
        <w:rPr>
          <w:rStyle w:val="Emphasis"/>
          <w:i w:val="0"/>
          <w:iCs w:val="0"/>
        </w:rPr>
      </w:pPr>
      <w:r w:rsidRPr="00B17B8B">
        <w:rPr>
          <w:rStyle w:val="Emphasis"/>
          <w:i w:val="0"/>
          <w:iCs w:val="0"/>
        </w:rPr>
        <w:t>A su</w:t>
      </w:r>
      <w:r>
        <w:rPr>
          <w:rStyle w:val="Emphasis"/>
          <w:i w:val="0"/>
          <w:iCs w:val="0"/>
        </w:rPr>
        <w:t>mmary of the project plan needs to</w:t>
      </w:r>
      <w:r w:rsidRPr="00B17B8B">
        <w:rPr>
          <w:rStyle w:val="Emphasis"/>
          <w:i w:val="0"/>
          <w:iCs w:val="0"/>
        </w:rPr>
        <w:t xml:space="preserve"> be included</w:t>
      </w:r>
      <w:r>
        <w:rPr>
          <w:rStyle w:val="Emphasis"/>
          <w:i w:val="0"/>
          <w:iCs w:val="0"/>
        </w:rPr>
        <w:t xml:space="preserve"> in the Management Case which addresses the following areas:</w:t>
      </w:r>
    </w:p>
    <w:p w:rsidR="001F5EED" w:rsidRDefault="001F5EED" w:rsidP="001F5EED">
      <w:pPr>
        <w:pStyle w:val="StandardBullet0"/>
      </w:pPr>
      <w:r>
        <w:t>Details of t</w:t>
      </w:r>
      <w:r w:rsidRPr="00D618C8">
        <w:t xml:space="preserve">he </w:t>
      </w:r>
      <w:r>
        <w:t>main outcomes</w:t>
      </w:r>
      <w:r w:rsidRPr="00D618C8">
        <w:t xml:space="preserve"> required</w:t>
      </w:r>
      <w:r>
        <w:t xml:space="preserve"> to deliver the preferred implementation option for the project e.g. the new build facility.</w:t>
      </w:r>
    </w:p>
    <w:p w:rsidR="00FA41F3" w:rsidRPr="00D618C8" w:rsidRDefault="00FA41F3" w:rsidP="001F5EED">
      <w:pPr>
        <w:pStyle w:val="StandardBullet0"/>
      </w:pPr>
      <w:r>
        <w:t xml:space="preserve">Details of any site </w:t>
      </w:r>
      <w:proofErr w:type="gramStart"/>
      <w:r>
        <w:t>investigation,</w:t>
      </w:r>
      <w:proofErr w:type="gramEnd"/>
      <w:r>
        <w:t xml:space="preserve"> purchase and/or assembly plans.</w:t>
      </w:r>
    </w:p>
    <w:p w:rsidR="001F5EED" w:rsidRDefault="001F5EED" w:rsidP="001F5EED">
      <w:pPr>
        <w:pStyle w:val="StandardBullet0"/>
      </w:pPr>
      <w:r>
        <w:lastRenderedPageBreak/>
        <w:t>The activities</w:t>
      </w:r>
      <w:r w:rsidRPr="00D618C8">
        <w:t xml:space="preserve"> </w:t>
      </w:r>
      <w:r>
        <w:t xml:space="preserve">for </w:t>
      </w:r>
      <w:r w:rsidRPr="00D618C8">
        <w:t>delivering th</w:t>
      </w:r>
      <w:r>
        <w:t>ese outcomes throughout the planning, procurement and implementation journey e.g. resource recruitment, design, site purchasing, construction phases, equipment purchasing, commissioning, hand-over, operational change arrangements, etc.</w:t>
      </w:r>
    </w:p>
    <w:p w:rsidR="001F5EED" w:rsidRDefault="001F5EED" w:rsidP="001F5EED">
      <w:pPr>
        <w:pStyle w:val="StandardBullet0"/>
      </w:pPr>
      <w:r>
        <w:t>T</w:t>
      </w:r>
      <w:r w:rsidRPr="00D618C8">
        <w:t xml:space="preserve">he </w:t>
      </w:r>
      <w:r>
        <w:t xml:space="preserve">resource plan for completing these activities, including any concerns / risk related to a lack of suitable </w:t>
      </w:r>
      <w:r w:rsidRPr="00D618C8">
        <w:t xml:space="preserve">resources and </w:t>
      </w:r>
      <w:r>
        <w:t>the plan for resolving this.</w:t>
      </w:r>
    </w:p>
    <w:p w:rsidR="001F5EED" w:rsidRDefault="001F5EED" w:rsidP="001F5EED">
      <w:pPr>
        <w:pStyle w:val="StandardBullet0"/>
      </w:pPr>
      <w:r>
        <w:t xml:space="preserve">Any notable </w:t>
      </w:r>
      <w:r w:rsidRPr="00D618C8">
        <w:t>constraints</w:t>
      </w:r>
      <w:r>
        <w:t xml:space="preserve"> towards completing these activities and an indication of what is being planned to overcome those constraints.</w:t>
      </w:r>
    </w:p>
    <w:p w:rsidR="001F5EED" w:rsidRPr="00D618C8" w:rsidRDefault="001F5EED" w:rsidP="001F5EED">
      <w:pPr>
        <w:pStyle w:val="StandardBullet0"/>
      </w:pPr>
      <w:r>
        <w:t>A tabular schedule of w</w:t>
      </w:r>
      <w:r w:rsidRPr="00D618C8">
        <w:t xml:space="preserve">hen </w:t>
      </w:r>
      <w:r>
        <w:t xml:space="preserve">these </w:t>
      </w:r>
      <w:r w:rsidRPr="00D618C8">
        <w:t xml:space="preserve">activities will occur (the inclusion of a </w:t>
      </w:r>
      <w:r>
        <w:t xml:space="preserve">supporting </w:t>
      </w:r>
      <w:r w:rsidRPr="00D618C8">
        <w:t>Gantt chart m</w:t>
      </w:r>
      <w:r>
        <w:t>ay be useful).</w:t>
      </w:r>
    </w:p>
    <w:p w:rsidR="001F5EED" w:rsidRDefault="001F5EED" w:rsidP="001F5EED">
      <w:pPr>
        <w:pStyle w:val="StandardBullet0"/>
        <w:rPr>
          <w:rStyle w:val="Emphasis"/>
          <w:i w:val="0"/>
          <w:iCs w:val="0"/>
        </w:rPr>
      </w:pPr>
      <w:r>
        <w:t>T</w:t>
      </w:r>
      <w:r w:rsidRPr="00D618C8">
        <w:t xml:space="preserve">he </w:t>
      </w:r>
      <w:r>
        <w:t xml:space="preserve">stages when progress against this plan will be reviewed, including </w:t>
      </w:r>
      <w:r w:rsidRPr="00D618C8">
        <w:t>key</w:t>
      </w:r>
      <w:r>
        <w:t xml:space="preserve"> </w:t>
      </w:r>
      <w:r w:rsidRPr="00D618C8">
        <w:t>points during the business cas</w:t>
      </w:r>
      <w:r>
        <w:t>e development, such as Gateway R</w:t>
      </w:r>
      <w:r w:rsidRPr="00D618C8">
        <w:t>eviews</w:t>
      </w:r>
      <w:r>
        <w:t>, Key Stage Reviews,</w:t>
      </w:r>
      <w:r w:rsidRPr="00D618C8">
        <w:t xml:space="preserve"> and any health</w:t>
      </w:r>
      <w:r>
        <w:t xml:space="preserve"> </w:t>
      </w:r>
      <w:r w:rsidRPr="00D618C8">
        <w:t>checks.</w:t>
      </w:r>
      <w:r>
        <w:rPr>
          <w:rStyle w:val="Emphasis"/>
          <w:i w:val="0"/>
          <w:iCs w:val="0"/>
        </w:rPr>
        <w:t xml:space="preserve">  </w:t>
      </w:r>
    </w:p>
    <w:p w:rsidR="001F5EED" w:rsidRDefault="001F5EED" w:rsidP="001F5EED">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pPr>
      <w:r>
        <w:br w:type="page"/>
      </w:r>
    </w:p>
    <w:p w:rsidR="001F5EED" w:rsidRDefault="007F6BBC" w:rsidP="001F5EED">
      <w:pPr>
        <w:pStyle w:val="Heading1"/>
      </w:pPr>
      <w:r>
        <w:rPr>
          <w:noProof/>
          <w:lang w:eastAsia="en-GB"/>
        </w:rPr>
        <w:lastRenderedPageBreak/>
        <w:pict>
          <v:group id="_x0000_s1583" style="position:absolute;left:0;text-align:left;margin-left:0;margin-top:39.2pt;width:396pt;height:127.9pt;z-index:251893760" coordorigin="1440,2302" coordsize="7920,2558">
            <v:rect id="_x0000_s1584" style="position:absolute;left:5040;top:2302;width:4320;height:540;v-text-anchor:middle" fillcolor="#31849b [2408]">
              <v:textbox style="mso-next-textbox:#_x0000_s1584">
                <w:txbxContent>
                  <w:p w:rsidR="003863F9" w:rsidRPr="00EA7DFB" w:rsidRDefault="003863F9" w:rsidP="001F5EED">
                    <w:pPr>
                      <w:spacing w:line="240" w:lineRule="auto"/>
                      <w:jc w:val="center"/>
                      <w:rPr>
                        <w:rFonts w:cs="Arial"/>
                        <w:b/>
                        <w:color w:val="FFFFFF" w:themeColor="background1"/>
                        <w:szCs w:val="24"/>
                      </w:rPr>
                    </w:pPr>
                    <w:r w:rsidRPr="00EA7DFB">
                      <w:rPr>
                        <w:rFonts w:cs="Arial"/>
                        <w:b/>
                        <w:color w:val="FFFFFF" w:themeColor="background1"/>
                        <w:szCs w:val="24"/>
                      </w:rPr>
                      <w:t>Response</w:t>
                    </w:r>
                  </w:p>
                </w:txbxContent>
              </v:textbox>
            </v:rect>
            <v:rect id="_x0000_s1585" style="position:absolute;left:2400;top:2302;width:2400;height:540;v-text-anchor:middle" fillcolor="#31849b [2408]">
              <v:textbox style="mso-next-textbox:#_x0000_s1585">
                <w:txbxContent>
                  <w:p w:rsidR="003863F9" w:rsidRPr="00EA7DFB" w:rsidRDefault="003863F9" w:rsidP="001F5EED">
                    <w:pPr>
                      <w:spacing w:line="240" w:lineRule="auto"/>
                      <w:jc w:val="center"/>
                      <w:rPr>
                        <w:rFonts w:cs="Arial"/>
                        <w:b/>
                        <w:color w:val="FFFFFF" w:themeColor="background1"/>
                        <w:szCs w:val="24"/>
                      </w:rPr>
                    </w:pPr>
                    <w:r w:rsidRPr="00EA7DFB">
                      <w:rPr>
                        <w:rFonts w:cs="Arial"/>
                        <w:b/>
                        <w:color w:val="FFFFFF" w:themeColor="background1"/>
                        <w:szCs w:val="24"/>
                      </w:rPr>
                      <w:t>Question</w:t>
                    </w:r>
                  </w:p>
                </w:txbxContent>
              </v:textbox>
            </v:rect>
            <v:rect id="_x0000_s1586" style="position:absolute;left:1440;top:3022;width:720;height:1838;v-text-anchor:middle" fillcolor="#bfbfbf [2412]">
              <v:textbox style="layout-flow:vertical;mso-layout-flow-alt:bottom-to-top;mso-next-textbox:#_x0000_s1586">
                <w:txbxContent>
                  <w:p w:rsidR="003863F9" w:rsidRPr="005B3097" w:rsidRDefault="003863F9" w:rsidP="001F5EED">
                    <w:pPr>
                      <w:spacing w:line="240" w:lineRule="auto"/>
                      <w:jc w:val="center"/>
                      <w:rPr>
                        <w:rFonts w:cs="Arial"/>
                        <w:b/>
                        <w:sz w:val="18"/>
                        <w:szCs w:val="18"/>
                      </w:rPr>
                    </w:pPr>
                    <w:r>
                      <w:rPr>
                        <w:rFonts w:cs="Arial"/>
                        <w:b/>
                        <w:sz w:val="18"/>
                        <w:szCs w:val="18"/>
                      </w:rPr>
                      <w:t xml:space="preserve">Change Management </w:t>
                    </w:r>
                  </w:p>
                </w:txbxContent>
              </v:textbox>
            </v:rect>
            <v:rect id="_x0000_s1587" style="position:absolute;left:2400;top:3022;width:2400;height:1838;v-text-anchor:middle">
              <v:textbox style="mso-next-textbox:#_x0000_s1587">
                <w:txbxContent>
                  <w:p w:rsidR="003863F9" w:rsidRPr="00BE4669" w:rsidRDefault="003863F9" w:rsidP="001F5EED">
                    <w:pPr>
                      <w:spacing w:before="240" w:after="120" w:line="240" w:lineRule="auto"/>
                      <w:jc w:val="left"/>
                      <w:rPr>
                        <w:rFonts w:cs="Arial"/>
                        <w:sz w:val="20"/>
                      </w:rPr>
                    </w:pPr>
                    <w:r w:rsidRPr="00BE4669">
                      <w:rPr>
                        <w:rFonts w:cs="Arial"/>
                        <w:sz w:val="20"/>
                      </w:rPr>
                      <w:t>What change management arrangements have been put in place?</w:t>
                    </w:r>
                  </w:p>
                </w:txbxContent>
              </v:textbox>
            </v:rect>
            <v:rect id="_x0000_s1588" style="position:absolute;left:5040;top:3022;width:4320;height:1838;v-text-anchor:middle">
              <v:textbox style="mso-next-textbox:#_x0000_s1588">
                <w:txbxContent>
                  <w:p w:rsidR="003863F9" w:rsidRPr="00BE4669" w:rsidRDefault="003863F9" w:rsidP="001F5EED">
                    <w:pPr>
                      <w:spacing w:before="120" w:after="120" w:line="240" w:lineRule="auto"/>
                      <w:jc w:val="left"/>
                      <w:rPr>
                        <w:rFonts w:cs="Arial"/>
                        <w:sz w:val="18"/>
                        <w:szCs w:val="18"/>
                      </w:rPr>
                    </w:pPr>
                    <w:r w:rsidRPr="00BE4669">
                      <w:rPr>
                        <w:rFonts w:cs="Arial"/>
                        <w:sz w:val="18"/>
                        <w:szCs w:val="18"/>
                      </w:rPr>
                      <w:t>Outline:</w:t>
                    </w:r>
                  </w:p>
                  <w:p w:rsidR="003863F9" w:rsidRPr="00BE4669" w:rsidRDefault="003863F9" w:rsidP="001F5EED">
                    <w:pPr>
                      <w:pStyle w:val="Bullettable"/>
                      <w:ind w:left="720" w:hanging="360"/>
                      <w:contextualSpacing/>
                      <w:rPr>
                        <w:sz w:val="18"/>
                        <w:szCs w:val="18"/>
                      </w:rPr>
                    </w:pPr>
                    <w:r>
                      <w:rPr>
                        <w:sz w:val="18"/>
                        <w:szCs w:val="18"/>
                      </w:rPr>
                      <w:t>Operational &amp; service change plan</w:t>
                    </w:r>
                  </w:p>
                  <w:p w:rsidR="003863F9" w:rsidRPr="00BE4669" w:rsidRDefault="003863F9" w:rsidP="001F5EED">
                    <w:pPr>
                      <w:pStyle w:val="Bullettable"/>
                      <w:ind w:left="720" w:hanging="360"/>
                      <w:contextualSpacing/>
                      <w:rPr>
                        <w:sz w:val="18"/>
                        <w:szCs w:val="18"/>
                      </w:rPr>
                    </w:pPr>
                    <w:r>
                      <w:rPr>
                        <w:sz w:val="18"/>
                        <w:szCs w:val="18"/>
                      </w:rPr>
                      <w:t>Facilities change plan</w:t>
                    </w:r>
                  </w:p>
                  <w:p w:rsidR="003863F9" w:rsidRPr="00BE4669" w:rsidRDefault="003863F9" w:rsidP="001F5EED">
                    <w:pPr>
                      <w:pStyle w:val="Bullettable"/>
                      <w:ind w:left="720" w:hanging="360"/>
                      <w:contextualSpacing/>
                      <w:rPr>
                        <w:sz w:val="18"/>
                        <w:szCs w:val="18"/>
                      </w:rPr>
                    </w:pPr>
                    <w:r w:rsidRPr="00BE4669">
                      <w:rPr>
                        <w:sz w:val="18"/>
                        <w:szCs w:val="18"/>
                      </w:rPr>
                      <w:t>Stakeholder engagement &amp; communication plan</w:t>
                    </w:r>
                  </w:p>
                </w:txbxContent>
              </v:textbox>
            </v:rect>
            <w10:wrap type="topAndBottom"/>
          </v:group>
        </w:pict>
      </w:r>
      <w:r w:rsidR="001F5EED">
        <w:t>Change Management Arrangements</w:t>
      </w:r>
    </w:p>
    <w:p w:rsidR="001F5EED" w:rsidRDefault="001F5EED" w:rsidP="001F5EED">
      <w:pPr>
        <w:pStyle w:val="NoSpacing"/>
      </w:pPr>
    </w:p>
    <w:p w:rsidR="001F5EED" w:rsidRDefault="001F5EED" w:rsidP="001F5EED">
      <w:pPr>
        <w:pStyle w:val="Heading2"/>
      </w:pPr>
      <w:r>
        <w:t>Operational and service change plan</w:t>
      </w:r>
    </w:p>
    <w:p w:rsidR="001F5EED" w:rsidRDefault="001F5EED" w:rsidP="001F5EED">
      <w:pPr>
        <w:pStyle w:val="StandardParagraph"/>
        <w:rPr>
          <w:rStyle w:val="Emphasis"/>
          <w:i w:val="0"/>
          <w:iCs w:val="0"/>
        </w:rPr>
      </w:pPr>
      <w:r w:rsidRPr="000101A3">
        <w:rPr>
          <w:rStyle w:val="Emphasis"/>
          <w:i w:val="0"/>
          <w:iCs w:val="0"/>
        </w:rPr>
        <w:t>The potential impact of the pro</w:t>
      </w:r>
      <w:r>
        <w:rPr>
          <w:rStyle w:val="Emphasis"/>
          <w:i w:val="0"/>
          <w:iCs w:val="0"/>
        </w:rPr>
        <w:t xml:space="preserve">ject </w:t>
      </w:r>
      <w:r w:rsidRPr="000101A3">
        <w:rPr>
          <w:rStyle w:val="Emphasis"/>
          <w:i w:val="0"/>
          <w:iCs w:val="0"/>
        </w:rPr>
        <w:t xml:space="preserve">on the </w:t>
      </w:r>
      <w:r>
        <w:rPr>
          <w:rStyle w:val="Emphasis"/>
          <w:i w:val="0"/>
          <w:iCs w:val="0"/>
        </w:rPr>
        <w:t>NHS Board’s operational and service activities, processes and people</w:t>
      </w:r>
      <w:r w:rsidRPr="000101A3">
        <w:rPr>
          <w:rStyle w:val="Emphasis"/>
          <w:i w:val="0"/>
          <w:iCs w:val="0"/>
        </w:rPr>
        <w:t xml:space="preserve"> </w:t>
      </w:r>
      <w:r>
        <w:rPr>
          <w:rStyle w:val="Emphasis"/>
          <w:i w:val="0"/>
          <w:iCs w:val="0"/>
        </w:rPr>
        <w:t xml:space="preserve">should be </w:t>
      </w:r>
      <w:r w:rsidRPr="000101A3">
        <w:rPr>
          <w:rStyle w:val="Emphasis"/>
          <w:i w:val="0"/>
          <w:iCs w:val="0"/>
        </w:rPr>
        <w:t xml:space="preserve">assessed </w:t>
      </w:r>
      <w:r>
        <w:rPr>
          <w:rStyle w:val="Emphasis"/>
          <w:i w:val="0"/>
          <w:iCs w:val="0"/>
        </w:rPr>
        <w:t xml:space="preserve">and, where this identifies a need for further planning to take place, then an operational and service </w:t>
      </w:r>
      <w:r w:rsidRPr="000101A3">
        <w:rPr>
          <w:rStyle w:val="Emphasis"/>
          <w:i w:val="0"/>
          <w:iCs w:val="0"/>
        </w:rPr>
        <w:t>change management plan</w:t>
      </w:r>
      <w:r>
        <w:rPr>
          <w:rStyle w:val="Emphasis"/>
          <w:i w:val="0"/>
          <w:iCs w:val="0"/>
        </w:rPr>
        <w:t xml:space="preserve"> should be prepared.  This will cover the following elements:</w:t>
      </w:r>
    </w:p>
    <w:p w:rsidR="001F5EED" w:rsidRDefault="00CB2C64" w:rsidP="001F5EED">
      <w:pPr>
        <w:pStyle w:val="StandardBullet0"/>
      </w:pPr>
      <w:r>
        <w:t>Details of reporting structure and</w:t>
      </w:r>
      <w:r w:rsidR="001F5EED">
        <w:t xml:space="preserve"> governance arrangements for the operational change which aligns with the overarching project structure.</w:t>
      </w:r>
    </w:p>
    <w:p w:rsidR="001F5EED" w:rsidRDefault="001F5EED" w:rsidP="001F5EED">
      <w:pPr>
        <w:pStyle w:val="StandardBullet0"/>
      </w:pPr>
      <w:r>
        <w:t xml:space="preserve">Identification of the person dedicated to leading on this aspect of the project; including an outline of their role and responsibilities, an indication of their competency for carrying out this role, and continuity plans in place for this important role. </w:t>
      </w:r>
    </w:p>
    <w:p w:rsidR="001F5EED" w:rsidRDefault="001F5EED" w:rsidP="001F5EED">
      <w:pPr>
        <w:pStyle w:val="StandardBullet0"/>
      </w:pPr>
      <w:r>
        <w:t xml:space="preserve">An outline of the resources needed to implement this </w:t>
      </w:r>
      <w:proofErr w:type="gramStart"/>
      <w:r>
        <w:t>plan,</w:t>
      </w:r>
      <w:proofErr w:type="gramEnd"/>
      <w:r>
        <w:t xml:space="preserve"> including any recruitment plans to fill any vacant roles. </w:t>
      </w:r>
    </w:p>
    <w:p w:rsidR="001F5EED" w:rsidRPr="00C11434" w:rsidRDefault="001F5EED" w:rsidP="001F5EED">
      <w:pPr>
        <w:pStyle w:val="StandardBullet0"/>
      </w:pPr>
      <w:r>
        <w:t>An operational change plan, similar in content to the main project plan.</w:t>
      </w:r>
    </w:p>
    <w:p w:rsidR="001F5EED" w:rsidRDefault="001F5EED" w:rsidP="001F5EED">
      <w:pPr>
        <w:pStyle w:val="Heading2"/>
        <w:rPr>
          <w:rStyle w:val="Emphasis"/>
          <w:i w:val="0"/>
          <w:iCs w:val="0"/>
        </w:rPr>
      </w:pPr>
      <w:r>
        <w:rPr>
          <w:rStyle w:val="Emphasis"/>
          <w:i w:val="0"/>
          <w:iCs w:val="0"/>
        </w:rPr>
        <w:t>Facilities change plan</w:t>
      </w:r>
    </w:p>
    <w:p w:rsidR="001F5EED" w:rsidRDefault="001F5EED" w:rsidP="001F5EED">
      <w:pPr>
        <w:pStyle w:val="StandardParagraph"/>
        <w:rPr>
          <w:rStyle w:val="Emphasis"/>
          <w:i w:val="0"/>
          <w:iCs w:val="0"/>
        </w:rPr>
      </w:pPr>
      <w:r>
        <w:rPr>
          <w:rStyle w:val="Emphasis"/>
          <w:i w:val="0"/>
          <w:iCs w:val="0"/>
        </w:rPr>
        <w:t xml:space="preserve">Facilities services may also be impacted by a proposed investment project.  If so, then a facilities change management plan will be required which is similar in content and structure as the operational change strategy, and which also confirms adoption of the ‘Government Soft Landings’ principles.  It will also need to align with the overarching project plan and any operational &amp; service change plans. </w:t>
      </w:r>
    </w:p>
    <w:p w:rsidR="001F5EED" w:rsidRDefault="001F5EED" w:rsidP="001F5EED">
      <w:pPr>
        <w:pStyle w:val="Heading2"/>
        <w:rPr>
          <w:rStyle w:val="Emphasis"/>
          <w:i w:val="0"/>
          <w:iCs w:val="0"/>
        </w:rPr>
      </w:pPr>
      <w:r>
        <w:rPr>
          <w:rStyle w:val="Emphasis"/>
          <w:i w:val="0"/>
          <w:iCs w:val="0"/>
        </w:rPr>
        <w:lastRenderedPageBreak/>
        <w:t>Stakeholder engagement and communication plan</w:t>
      </w:r>
    </w:p>
    <w:p w:rsidR="001F5EED" w:rsidRDefault="001F5EED" w:rsidP="001F5EED">
      <w:pPr>
        <w:pStyle w:val="StandardParagraph"/>
      </w:pPr>
      <w:r>
        <w:t>In most instances, a stakeholder engagement and/or communication plan is required which should include the following elements:</w:t>
      </w:r>
    </w:p>
    <w:p w:rsidR="001F5EED" w:rsidRDefault="001F5EED" w:rsidP="001F5EED">
      <w:pPr>
        <w:pStyle w:val="StandardBullet0"/>
      </w:pPr>
      <w:r>
        <w:t>Identification of stakeholders.</w:t>
      </w:r>
    </w:p>
    <w:p w:rsidR="001F5EED" w:rsidRDefault="001F5EED" w:rsidP="001F5EED">
      <w:pPr>
        <w:pStyle w:val="StandardBullet0"/>
      </w:pPr>
      <w:r>
        <w:t>Communications and engagement carried out to date.</w:t>
      </w:r>
    </w:p>
    <w:p w:rsidR="001F5EED" w:rsidRDefault="001F5EED" w:rsidP="001F5EED">
      <w:pPr>
        <w:pStyle w:val="StandardBullet0"/>
      </w:pPr>
      <w:r>
        <w:t>Information and/ or engagement events still to be carried out</w:t>
      </w:r>
    </w:p>
    <w:p w:rsidR="001F5EED" w:rsidRDefault="001F5EED" w:rsidP="001F5EED">
      <w:pPr>
        <w:pStyle w:val="StandardBullet0"/>
      </w:pPr>
      <w:r>
        <w:t>Frequency of communications and engagement.</w:t>
      </w:r>
    </w:p>
    <w:p w:rsidR="001F5EED" w:rsidRDefault="001F5EED" w:rsidP="001F5EED">
      <w:pPr>
        <w:pStyle w:val="StandardBullet0"/>
      </w:pPr>
      <w:r>
        <w:t>Method of communication (letter, e-mail, newsletter, etc) and/ or details of engagement events.</w:t>
      </w:r>
    </w:p>
    <w:p w:rsidR="001F5EED" w:rsidRPr="006C3BD6" w:rsidRDefault="001F5EED" w:rsidP="001F5EED">
      <w:pPr>
        <w:pStyle w:val="StandardBullet0"/>
      </w:pPr>
      <w:r>
        <w:t>Workforce training and development plans.</w:t>
      </w:r>
    </w:p>
    <w:p w:rsidR="001F5EED" w:rsidRPr="000101A3" w:rsidRDefault="001F5EED" w:rsidP="001F5EED">
      <w:pPr>
        <w:pStyle w:val="StandardParagraph"/>
        <w:rPr>
          <w:rStyle w:val="Emphasis"/>
          <w:i w:val="0"/>
          <w:iCs w:val="0"/>
        </w:rPr>
      </w:pPr>
    </w:p>
    <w:p w:rsidR="001F5EED" w:rsidRPr="00C45813" w:rsidRDefault="001F5EED" w:rsidP="001F5EED">
      <w:pPr>
        <w:pStyle w:val="StandardParagraph"/>
      </w:pPr>
    </w:p>
    <w:p w:rsidR="001F5EED" w:rsidRDefault="001F5EED" w:rsidP="001F5EED">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pPr>
      <w:r>
        <w:br w:type="page"/>
      </w:r>
    </w:p>
    <w:p w:rsidR="001F5EED" w:rsidRDefault="007F6BBC" w:rsidP="001F5EED">
      <w:pPr>
        <w:pStyle w:val="Heading1"/>
      </w:pPr>
      <w:r>
        <w:rPr>
          <w:noProof/>
          <w:lang w:eastAsia="en-GB"/>
        </w:rPr>
        <w:lastRenderedPageBreak/>
        <w:pict>
          <v:group id="_x0000_s1553" style="position:absolute;left:0;text-align:left;margin-left:0;margin-top:38.05pt;width:396pt;height:99pt;z-index:251888640" coordorigin="1440,1980" coordsize="7920,1980">
            <v:rect id="_x0000_s1554" style="position:absolute;left:5040;top:1980;width:4320;height:540;v-text-anchor:middle" fillcolor="#31849b [2408]">
              <v:textbox style="mso-next-textbox:#_x0000_s1554">
                <w:txbxContent>
                  <w:p w:rsidR="003863F9" w:rsidRPr="00EA7DFB" w:rsidRDefault="003863F9" w:rsidP="001F5EED">
                    <w:pPr>
                      <w:spacing w:line="240" w:lineRule="auto"/>
                      <w:jc w:val="center"/>
                      <w:rPr>
                        <w:rFonts w:cs="Arial"/>
                        <w:b/>
                        <w:color w:val="FFFFFF" w:themeColor="background1"/>
                        <w:szCs w:val="24"/>
                      </w:rPr>
                    </w:pPr>
                    <w:r w:rsidRPr="00EA7DFB">
                      <w:rPr>
                        <w:rFonts w:cs="Arial"/>
                        <w:b/>
                        <w:color w:val="FFFFFF" w:themeColor="background1"/>
                        <w:szCs w:val="24"/>
                      </w:rPr>
                      <w:t>Response</w:t>
                    </w:r>
                  </w:p>
                </w:txbxContent>
              </v:textbox>
            </v:rect>
            <v:rect id="_x0000_s1555" style="position:absolute;left:2400;top:1980;width:2400;height:540;v-text-anchor:middle" fillcolor="#31849b [2408]">
              <v:textbox style="mso-next-textbox:#_x0000_s1555">
                <w:txbxContent>
                  <w:p w:rsidR="003863F9" w:rsidRPr="00EA7DFB" w:rsidRDefault="003863F9" w:rsidP="001F5EED">
                    <w:pPr>
                      <w:spacing w:line="240" w:lineRule="auto"/>
                      <w:jc w:val="center"/>
                      <w:rPr>
                        <w:rFonts w:cs="Arial"/>
                        <w:b/>
                        <w:color w:val="FFFFFF" w:themeColor="background1"/>
                        <w:szCs w:val="24"/>
                      </w:rPr>
                    </w:pPr>
                    <w:r w:rsidRPr="00EA7DFB">
                      <w:rPr>
                        <w:rFonts w:cs="Arial"/>
                        <w:b/>
                        <w:color w:val="FFFFFF" w:themeColor="background1"/>
                        <w:szCs w:val="24"/>
                      </w:rPr>
                      <w:t>Question</w:t>
                    </w:r>
                  </w:p>
                </w:txbxContent>
              </v:textbox>
            </v:rect>
            <v:rect id="_x0000_s1556" style="position:absolute;left:1440;top:2700;width:720;height:1260;v-text-anchor:middle" fillcolor="#bfbfbf [2412]">
              <v:textbox style="layout-flow:vertical;mso-layout-flow-alt:bottom-to-top;mso-next-textbox:#_x0000_s1556">
                <w:txbxContent>
                  <w:p w:rsidR="003863F9" w:rsidRPr="005B3097" w:rsidRDefault="003863F9" w:rsidP="001F5EED">
                    <w:pPr>
                      <w:spacing w:line="240" w:lineRule="auto"/>
                      <w:jc w:val="center"/>
                      <w:rPr>
                        <w:rFonts w:cs="Arial"/>
                        <w:b/>
                        <w:sz w:val="18"/>
                        <w:szCs w:val="18"/>
                      </w:rPr>
                    </w:pPr>
                    <w:r>
                      <w:rPr>
                        <w:rFonts w:cs="Arial"/>
                        <w:b/>
                        <w:sz w:val="18"/>
                        <w:szCs w:val="18"/>
                      </w:rPr>
                      <w:t xml:space="preserve">Benefits Realisation </w:t>
                    </w:r>
                  </w:p>
                </w:txbxContent>
              </v:textbox>
            </v:rect>
            <v:rect id="_x0000_s1557" style="position:absolute;left:2400;top:2700;width:2400;height:1260;v-text-anchor:middle">
              <v:textbox style="mso-next-textbox:#_x0000_s1557">
                <w:txbxContent>
                  <w:p w:rsidR="003863F9" w:rsidRPr="00BE4669" w:rsidRDefault="003863F9" w:rsidP="001F5EED">
                    <w:pPr>
                      <w:spacing w:before="120" w:after="120" w:line="240" w:lineRule="auto"/>
                      <w:jc w:val="left"/>
                      <w:rPr>
                        <w:rFonts w:cs="Arial"/>
                        <w:sz w:val="20"/>
                      </w:rPr>
                    </w:pPr>
                    <w:r w:rsidRPr="00BE4669">
                      <w:rPr>
                        <w:rFonts w:cs="Arial"/>
                        <w:sz w:val="20"/>
                      </w:rPr>
                      <w:t>How will the project’s benefits be realised?</w:t>
                    </w:r>
                  </w:p>
                </w:txbxContent>
              </v:textbox>
            </v:rect>
            <v:rect id="_x0000_s1558" style="position:absolute;left:5040;top:2700;width:4320;height:1260">
              <v:textbox style="mso-next-textbox:#_x0000_s1558">
                <w:txbxContent>
                  <w:p w:rsidR="003863F9" w:rsidRPr="00BE4669" w:rsidRDefault="003863F9" w:rsidP="00D17A70">
                    <w:pPr>
                      <w:spacing w:before="60" w:after="60" w:line="240" w:lineRule="auto"/>
                      <w:jc w:val="left"/>
                      <w:rPr>
                        <w:rFonts w:cs="Arial"/>
                        <w:sz w:val="18"/>
                        <w:szCs w:val="18"/>
                      </w:rPr>
                    </w:pPr>
                    <w:r w:rsidRPr="00BE4669">
                      <w:rPr>
                        <w:rFonts w:cs="Arial"/>
                        <w:sz w:val="18"/>
                        <w:szCs w:val="18"/>
                      </w:rPr>
                      <w:t>Outline:</w:t>
                    </w:r>
                  </w:p>
                  <w:p w:rsidR="003863F9" w:rsidRPr="00BE4669" w:rsidRDefault="003863F9" w:rsidP="001F5EED">
                    <w:pPr>
                      <w:pStyle w:val="Bullettable"/>
                      <w:ind w:left="720" w:hanging="360"/>
                      <w:contextualSpacing/>
                      <w:rPr>
                        <w:sz w:val="18"/>
                        <w:szCs w:val="18"/>
                      </w:rPr>
                    </w:pPr>
                    <w:r w:rsidRPr="00BE4669">
                      <w:rPr>
                        <w:sz w:val="18"/>
                        <w:szCs w:val="18"/>
                      </w:rPr>
                      <w:t>Updated benefits register</w:t>
                    </w:r>
                  </w:p>
                  <w:p w:rsidR="003863F9" w:rsidRPr="00D17A70" w:rsidRDefault="003863F9" w:rsidP="001F5EED">
                    <w:pPr>
                      <w:pStyle w:val="Bullettable"/>
                      <w:ind w:left="720" w:hanging="360"/>
                      <w:contextualSpacing/>
                    </w:pPr>
                    <w:r w:rsidRPr="00BE4669">
                      <w:rPr>
                        <w:sz w:val="18"/>
                        <w:szCs w:val="18"/>
                      </w:rPr>
                      <w:t>Full benefits realisation plan</w:t>
                    </w:r>
                  </w:p>
                  <w:p w:rsidR="003863F9" w:rsidRPr="00C11434" w:rsidRDefault="003863F9" w:rsidP="001F5EED">
                    <w:pPr>
                      <w:pStyle w:val="Bullettable"/>
                      <w:ind w:left="720" w:hanging="360"/>
                      <w:contextualSpacing/>
                    </w:pPr>
                    <w:r>
                      <w:rPr>
                        <w:sz w:val="18"/>
                        <w:szCs w:val="18"/>
                      </w:rPr>
                      <w:t>Community benefits objective</w:t>
                    </w:r>
                  </w:p>
                </w:txbxContent>
              </v:textbox>
            </v:rect>
            <w10:wrap type="topAndBottom"/>
          </v:group>
        </w:pict>
      </w:r>
      <w:r w:rsidR="001F5EED">
        <w:t>Benefits Realisation</w:t>
      </w:r>
    </w:p>
    <w:p w:rsidR="001F5EED" w:rsidRDefault="001F5EED" w:rsidP="001F5EED">
      <w:pPr>
        <w:pStyle w:val="NoSpacing"/>
      </w:pPr>
    </w:p>
    <w:p w:rsidR="001F5EED" w:rsidRDefault="001F5EED" w:rsidP="001F5EED">
      <w:pPr>
        <w:pStyle w:val="StandardParagraph"/>
      </w:pPr>
      <w:r>
        <w:t>The rationale for an investment needs t</w:t>
      </w:r>
      <w:r w:rsidR="00CB2C64">
        <w:t>o be reflected in the realisation</w:t>
      </w:r>
      <w:r w:rsidR="00356DE6">
        <w:t xml:space="preserve"> of demonstrable benefits, as this will </w:t>
      </w:r>
      <w:r>
        <w:t xml:space="preserve">provide the evidence base that a proposal is worthwhile and </w:t>
      </w:r>
      <w:r w:rsidR="00356DE6">
        <w:t>that a successful outcome is achievable.</w:t>
      </w:r>
    </w:p>
    <w:p w:rsidR="001F5EED" w:rsidRDefault="001F5EED" w:rsidP="001F5EED">
      <w:pPr>
        <w:pStyle w:val="StandardParagraph"/>
      </w:pPr>
      <w:r>
        <w:t xml:space="preserve">A </w:t>
      </w:r>
      <w:r w:rsidR="00356DE6">
        <w:t xml:space="preserve">separate </w:t>
      </w:r>
      <w:r>
        <w:t>Benefits Realisation guide is available as part of the SCIM manuals which describes</w:t>
      </w:r>
      <w:r w:rsidR="00356DE6">
        <w:t xml:space="preserve"> the process to follow and </w:t>
      </w:r>
      <w:r>
        <w:t>details of what information to in</w:t>
      </w:r>
      <w:r w:rsidR="00D17A70">
        <w:t>clude at this</w:t>
      </w:r>
      <w:r>
        <w:t xml:space="preserve"> stage of the business case process.  </w:t>
      </w:r>
      <w:r w:rsidR="00356DE6">
        <w:t>The following is a summary</w:t>
      </w:r>
      <w:r>
        <w:t xml:space="preserve"> from this guide on the expectations at O</w:t>
      </w:r>
      <w:r w:rsidR="00356DE6">
        <w:t>BC stage</w:t>
      </w:r>
      <w:r>
        <w:t>:</w:t>
      </w:r>
    </w:p>
    <w:p w:rsidR="001F5EED" w:rsidRDefault="001F5EED" w:rsidP="001F5EED">
      <w:pPr>
        <w:pStyle w:val="StandardBullet0"/>
      </w:pPr>
      <w:r>
        <w:t xml:space="preserve">Review and update </w:t>
      </w:r>
      <w:r w:rsidR="00356DE6">
        <w:t>the Benefits Register</w:t>
      </w:r>
      <w:r>
        <w:t xml:space="preserve"> developed for the Initial Agreement.</w:t>
      </w:r>
    </w:p>
    <w:p w:rsidR="001F5EED" w:rsidRDefault="001F5EED" w:rsidP="001F5EED">
      <w:pPr>
        <w:pStyle w:val="StandardBullet0"/>
      </w:pPr>
      <w:r>
        <w:t>Remove any benefits that are no longer considered to have a reasonable expectation of achievement, indicating the reasons why.</w:t>
      </w:r>
    </w:p>
    <w:p w:rsidR="001F5EED" w:rsidRDefault="001F5EED" w:rsidP="001F5EED">
      <w:pPr>
        <w:pStyle w:val="StandardBullet0"/>
      </w:pPr>
      <w:r>
        <w:t>Indicate the ‘Target Value’ for each benefit, confirming the level of improvement expected once the benefit is realised. The comparable ‘Baseline Value’ should have been provided for the Initial Agreement.</w:t>
      </w:r>
    </w:p>
    <w:p w:rsidR="001F5EED" w:rsidRDefault="001F5EED" w:rsidP="001F5EED">
      <w:pPr>
        <w:pStyle w:val="StandardBullet0"/>
      </w:pPr>
      <w:r>
        <w:t xml:space="preserve">Develop </w:t>
      </w:r>
      <w:r w:rsidR="00E35A51">
        <w:t>a</w:t>
      </w:r>
      <w:r>
        <w:t xml:space="preserve"> Benefits Realisation Plan</w:t>
      </w:r>
      <w:r w:rsidR="00E35A51">
        <w:t xml:space="preserve"> which </w:t>
      </w:r>
      <w:r>
        <w:rPr>
          <w:lang w:eastAsia="en-GB"/>
        </w:rPr>
        <w:t>identif</w:t>
      </w:r>
      <w:r w:rsidR="00E35A51">
        <w:rPr>
          <w:lang w:eastAsia="en-GB"/>
        </w:rPr>
        <w:t>ies</w:t>
      </w:r>
      <w:r>
        <w:rPr>
          <w:lang w:eastAsia="en-GB"/>
        </w:rPr>
        <w:t xml:space="preserve"> </w:t>
      </w:r>
      <w:r w:rsidR="00356DE6">
        <w:rPr>
          <w:lang w:eastAsia="en-GB"/>
        </w:rPr>
        <w:t xml:space="preserve">individual responsibilities, actions necessary to realise each benefit, and how this will be monitored </w:t>
      </w:r>
      <w:r w:rsidR="00CB2C64">
        <w:rPr>
          <w:lang w:eastAsia="en-GB"/>
        </w:rPr>
        <w:t>throughout the project</w:t>
      </w:r>
      <w:r>
        <w:rPr>
          <w:lang w:eastAsia="en-GB"/>
        </w:rPr>
        <w:t>.</w:t>
      </w:r>
    </w:p>
    <w:p w:rsidR="00D17A70" w:rsidRPr="00D17A70" w:rsidRDefault="00D17A70" w:rsidP="00D17A70">
      <w:pPr>
        <w:pStyle w:val="StandardBullet0"/>
        <w:rPr>
          <w:lang w:val="en-US"/>
        </w:rPr>
      </w:pPr>
      <w:r>
        <w:rPr>
          <w:lang w:val="en-US"/>
        </w:rPr>
        <w:t>Prepare a Community Benefit project objective, which defines the approach to achieving social, economic and environmental benefits for this project. It should be location specific and align with the Board’s com</w:t>
      </w:r>
      <w:r w:rsidR="005B6015">
        <w:rPr>
          <w:lang w:val="en-US"/>
        </w:rPr>
        <w:t xml:space="preserve">munity benefit policy </w:t>
      </w:r>
      <w:r>
        <w:rPr>
          <w:lang w:val="en-US"/>
        </w:rPr>
        <w:t xml:space="preserve">within their </w:t>
      </w:r>
      <w:proofErr w:type="spellStart"/>
      <w:r>
        <w:rPr>
          <w:lang w:val="en-US"/>
        </w:rPr>
        <w:t>organisati</w:t>
      </w:r>
      <w:r w:rsidR="005B6015">
        <w:rPr>
          <w:lang w:val="en-US"/>
        </w:rPr>
        <w:t>onal</w:t>
      </w:r>
      <w:proofErr w:type="spellEnd"/>
      <w:r w:rsidR="005B6015">
        <w:rPr>
          <w:lang w:val="en-US"/>
        </w:rPr>
        <w:t xml:space="preserve"> procurement strategy. For f</w:t>
      </w:r>
      <w:r>
        <w:rPr>
          <w:lang w:val="en-US"/>
        </w:rPr>
        <w:t>urther</w:t>
      </w:r>
      <w:r w:rsidR="005B6015">
        <w:rPr>
          <w:lang w:val="en-US"/>
        </w:rPr>
        <w:t xml:space="preserve"> details</w:t>
      </w:r>
      <w:r>
        <w:rPr>
          <w:lang w:val="en-US"/>
        </w:rPr>
        <w:t xml:space="preserve"> and examples refer to the ‘Community Benefit Toolkit for Construction’.</w:t>
      </w:r>
    </w:p>
    <w:p w:rsidR="001F5EED" w:rsidRDefault="007F6BBC" w:rsidP="001F5EED">
      <w:pPr>
        <w:pStyle w:val="Heading1"/>
      </w:pPr>
      <w:r>
        <w:rPr>
          <w:noProof/>
          <w:lang w:eastAsia="en-GB"/>
        </w:rPr>
        <w:lastRenderedPageBreak/>
        <w:pict>
          <v:group id="_x0000_s1559" style="position:absolute;left:0;text-align:left;margin-left:0;margin-top:37.2pt;width:396pt;height:108pt;z-index:251889664" coordorigin="1440,2340" coordsize="7920,2340">
            <v:rect id="_x0000_s1560" style="position:absolute;left:5040;top:2340;width:4320;height:540;v-text-anchor:middle" fillcolor="#31849b [2408]">
              <v:textbox style="mso-next-textbox:#_x0000_s1560">
                <w:txbxContent>
                  <w:p w:rsidR="003863F9" w:rsidRPr="00EA7DFB" w:rsidRDefault="003863F9" w:rsidP="001F5EED">
                    <w:pPr>
                      <w:spacing w:line="240" w:lineRule="auto"/>
                      <w:jc w:val="center"/>
                      <w:rPr>
                        <w:rFonts w:cs="Arial"/>
                        <w:b/>
                        <w:color w:val="FFFFFF" w:themeColor="background1"/>
                        <w:szCs w:val="24"/>
                      </w:rPr>
                    </w:pPr>
                    <w:r w:rsidRPr="00EA7DFB">
                      <w:rPr>
                        <w:rFonts w:cs="Arial"/>
                        <w:b/>
                        <w:color w:val="FFFFFF" w:themeColor="background1"/>
                        <w:szCs w:val="24"/>
                      </w:rPr>
                      <w:t>Response</w:t>
                    </w:r>
                  </w:p>
                </w:txbxContent>
              </v:textbox>
            </v:rect>
            <v:rect id="_x0000_s1561" style="position:absolute;left:2400;top:2340;width:2400;height:540;v-text-anchor:middle" fillcolor="#31849b [2408]">
              <v:textbox style="mso-next-textbox:#_x0000_s1561">
                <w:txbxContent>
                  <w:p w:rsidR="003863F9" w:rsidRPr="00EA7DFB" w:rsidRDefault="003863F9" w:rsidP="001F5EED">
                    <w:pPr>
                      <w:spacing w:line="240" w:lineRule="auto"/>
                      <w:jc w:val="center"/>
                      <w:rPr>
                        <w:rFonts w:cs="Arial"/>
                        <w:b/>
                        <w:color w:val="FFFFFF" w:themeColor="background1"/>
                        <w:szCs w:val="24"/>
                      </w:rPr>
                    </w:pPr>
                    <w:r w:rsidRPr="00EA7DFB">
                      <w:rPr>
                        <w:rFonts w:cs="Arial"/>
                        <w:b/>
                        <w:color w:val="FFFFFF" w:themeColor="background1"/>
                        <w:szCs w:val="24"/>
                      </w:rPr>
                      <w:t>Question</w:t>
                    </w:r>
                  </w:p>
                </w:txbxContent>
              </v:textbox>
            </v:rect>
            <v:rect id="_x0000_s1562" style="position:absolute;left:1440;top:3060;width:720;height:1620;v-text-anchor:middle" fillcolor="#bfbfbf [2412]">
              <v:textbox style="layout-flow:vertical;mso-layout-flow-alt:bottom-to-top;mso-next-textbox:#_x0000_s1562">
                <w:txbxContent>
                  <w:p w:rsidR="003863F9" w:rsidRPr="005B3097" w:rsidRDefault="003863F9" w:rsidP="001F5EED">
                    <w:pPr>
                      <w:spacing w:line="240" w:lineRule="auto"/>
                      <w:jc w:val="center"/>
                      <w:rPr>
                        <w:rFonts w:cs="Arial"/>
                        <w:b/>
                        <w:sz w:val="18"/>
                        <w:szCs w:val="18"/>
                      </w:rPr>
                    </w:pPr>
                    <w:r>
                      <w:rPr>
                        <w:rFonts w:cs="Arial"/>
                        <w:b/>
                        <w:sz w:val="18"/>
                        <w:szCs w:val="18"/>
                      </w:rPr>
                      <w:t xml:space="preserve">Risk Management </w:t>
                    </w:r>
                  </w:p>
                </w:txbxContent>
              </v:textbox>
            </v:rect>
            <v:rect id="_x0000_s1563" style="position:absolute;left:2400;top:3060;width:2400;height:1620;v-text-anchor:middle">
              <v:textbox style="mso-next-textbox:#_x0000_s1563">
                <w:txbxContent>
                  <w:p w:rsidR="003863F9" w:rsidRPr="00BE4669" w:rsidRDefault="003863F9" w:rsidP="001F5EED">
                    <w:pPr>
                      <w:spacing w:before="240" w:after="120" w:line="240" w:lineRule="auto"/>
                      <w:jc w:val="left"/>
                      <w:rPr>
                        <w:rFonts w:cs="Arial"/>
                        <w:sz w:val="20"/>
                      </w:rPr>
                    </w:pPr>
                    <w:r>
                      <w:rPr>
                        <w:rFonts w:cs="Arial"/>
                        <w:sz w:val="20"/>
                      </w:rPr>
                      <w:t xml:space="preserve">How </w:t>
                    </w:r>
                    <w:proofErr w:type="gramStart"/>
                    <w:r>
                      <w:rPr>
                        <w:rFonts w:cs="Arial"/>
                        <w:sz w:val="20"/>
                      </w:rPr>
                      <w:t>are</w:t>
                    </w:r>
                    <w:r w:rsidRPr="00BE4669">
                      <w:rPr>
                        <w:rFonts w:cs="Arial"/>
                        <w:sz w:val="20"/>
                      </w:rPr>
                      <w:t xml:space="preserve"> the project</w:t>
                    </w:r>
                    <w:proofErr w:type="gramEnd"/>
                    <w:r w:rsidRPr="00BE4669">
                      <w:rPr>
                        <w:rFonts w:cs="Arial"/>
                        <w:sz w:val="20"/>
                      </w:rPr>
                      <w:t xml:space="preserve"> risks be</w:t>
                    </w:r>
                    <w:r>
                      <w:rPr>
                        <w:rFonts w:cs="Arial"/>
                        <w:sz w:val="20"/>
                      </w:rPr>
                      <w:t>ing</w:t>
                    </w:r>
                    <w:r w:rsidRPr="00BE4669">
                      <w:rPr>
                        <w:rFonts w:cs="Arial"/>
                        <w:sz w:val="20"/>
                      </w:rPr>
                      <w:t xml:space="preserve"> managed?</w:t>
                    </w:r>
                  </w:p>
                </w:txbxContent>
              </v:textbox>
            </v:rect>
            <v:rect id="_x0000_s1564" style="position:absolute;left:5040;top:3060;width:4320;height:1620">
              <v:textbox style="mso-next-textbox:#_x0000_s1564">
                <w:txbxContent>
                  <w:p w:rsidR="003863F9" w:rsidRPr="00BE4669" w:rsidRDefault="003863F9" w:rsidP="001F5EED">
                    <w:pPr>
                      <w:spacing w:before="120" w:after="120" w:line="240" w:lineRule="auto"/>
                      <w:jc w:val="left"/>
                      <w:rPr>
                        <w:rFonts w:cs="Arial"/>
                        <w:sz w:val="18"/>
                        <w:szCs w:val="18"/>
                      </w:rPr>
                    </w:pPr>
                    <w:r w:rsidRPr="00BE4669">
                      <w:rPr>
                        <w:rFonts w:cs="Arial"/>
                        <w:sz w:val="18"/>
                        <w:szCs w:val="18"/>
                      </w:rPr>
                      <w:t>Outline:</w:t>
                    </w:r>
                  </w:p>
                  <w:p w:rsidR="003863F9" w:rsidRPr="00BE4669" w:rsidRDefault="003863F9" w:rsidP="001F5EED">
                    <w:pPr>
                      <w:pStyle w:val="Bullettable"/>
                      <w:ind w:left="720" w:hanging="360"/>
                      <w:contextualSpacing/>
                      <w:rPr>
                        <w:sz w:val="18"/>
                        <w:szCs w:val="18"/>
                      </w:rPr>
                    </w:pPr>
                    <w:r>
                      <w:rPr>
                        <w:sz w:val="18"/>
                        <w:szCs w:val="18"/>
                      </w:rPr>
                      <w:t>Updated</w:t>
                    </w:r>
                    <w:r w:rsidRPr="00BE4669">
                      <w:rPr>
                        <w:sz w:val="18"/>
                        <w:szCs w:val="18"/>
                      </w:rPr>
                      <w:t xml:space="preserve"> risk register</w:t>
                    </w:r>
                  </w:p>
                  <w:p w:rsidR="003863F9" w:rsidRPr="00BE4669" w:rsidRDefault="003863F9" w:rsidP="001F5EED">
                    <w:pPr>
                      <w:pStyle w:val="Bullettable"/>
                      <w:ind w:left="720" w:hanging="360"/>
                      <w:contextualSpacing/>
                      <w:rPr>
                        <w:sz w:val="18"/>
                        <w:szCs w:val="18"/>
                      </w:rPr>
                    </w:pPr>
                    <w:r>
                      <w:rPr>
                        <w:sz w:val="18"/>
                        <w:szCs w:val="18"/>
                      </w:rPr>
                      <w:t>Risk c</w:t>
                    </w:r>
                    <w:r w:rsidRPr="00BE4669">
                      <w:rPr>
                        <w:sz w:val="18"/>
                        <w:szCs w:val="18"/>
                      </w:rPr>
                      <w:t>ontrol measures</w:t>
                    </w:r>
                  </w:p>
                  <w:p w:rsidR="003863F9" w:rsidRPr="00BE4669" w:rsidRDefault="003863F9" w:rsidP="001F5EED">
                    <w:pPr>
                      <w:pStyle w:val="Bullettable"/>
                      <w:ind w:left="720" w:hanging="360"/>
                      <w:contextualSpacing/>
                      <w:rPr>
                        <w:sz w:val="18"/>
                        <w:szCs w:val="18"/>
                      </w:rPr>
                    </w:pPr>
                    <w:r w:rsidRPr="00BE4669">
                      <w:rPr>
                        <w:sz w:val="18"/>
                        <w:szCs w:val="18"/>
                      </w:rPr>
                      <w:t>Governance arrangements</w:t>
                    </w:r>
                  </w:p>
                </w:txbxContent>
              </v:textbox>
            </v:rect>
            <w10:wrap type="topAndBottom"/>
          </v:group>
        </w:pict>
      </w:r>
      <w:r w:rsidR="001F5EED">
        <w:t>Risk Management</w:t>
      </w:r>
    </w:p>
    <w:p w:rsidR="001F5EED" w:rsidRDefault="001F5EED" w:rsidP="001F5EED">
      <w:pPr>
        <w:pStyle w:val="NoSpacing"/>
      </w:pPr>
    </w:p>
    <w:p w:rsidR="001F5EED" w:rsidRDefault="001F5EED" w:rsidP="001F5EED">
      <w:pPr>
        <w:pStyle w:val="Standardparagraph0"/>
      </w:pPr>
      <w:r w:rsidRPr="007402EF">
        <w:t>Risk management is a structured approach to identifying, assessing and controlling risks that emerge during the course of the policy, programme or project lifecycle</w:t>
      </w:r>
      <w:r>
        <w:t>.  It</w:t>
      </w:r>
      <w:r w:rsidRPr="007402EF">
        <w:t xml:space="preserve"> </w:t>
      </w:r>
      <w:r w:rsidRPr="007A5ADA">
        <w:t>is a critical and cont</w:t>
      </w:r>
      <w:r>
        <w:t xml:space="preserve">inuous process </w:t>
      </w:r>
      <w:r w:rsidRPr="007A5ADA">
        <w:t xml:space="preserve">throughout the </w:t>
      </w:r>
      <w:r>
        <w:t xml:space="preserve">planning, procurement and implementation </w:t>
      </w:r>
      <w:r w:rsidRPr="007A5ADA">
        <w:t>journey</w:t>
      </w:r>
      <w:r>
        <w:t xml:space="preserve"> of a project.</w:t>
      </w:r>
    </w:p>
    <w:p w:rsidR="001F5EED" w:rsidRDefault="001F5EED" w:rsidP="001F5EED">
      <w:pPr>
        <w:pStyle w:val="StandardParagraph"/>
      </w:pPr>
      <w:r>
        <w:t>A Risk Management guide is available as part of the SCIM manuals which describes four defined stages as identification, assessment, control, and monitoring.  It also includes details of how to quantify financial risks to form the risk contingency within a project’s cost estimate, and details of what information to include at each stage of the business case process.</w:t>
      </w:r>
    </w:p>
    <w:p w:rsidR="001F5EED" w:rsidRDefault="001F5EED" w:rsidP="001F5EED">
      <w:pPr>
        <w:pStyle w:val="StandardParagraph"/>
        <w:rPr>
          <w:lang w:eastAsia="en-GB"/>
        </w:rPr>
      </w:pPr>
      <w:r>
        <w:t xml:space="preserve">The following items are taken from this guide and </w:t>
      </w:r>
      <w:r>
        <w:rPr>
          <w:lang w:eastAsia="en-GB"/>
        </w:rPr>
        <w:t>provide a guide to the development of a risk management and quantification process appropriate at Outline Business Case stage:</w:t>
      </w:r>
    </w:p>
    <w:p w:rsidR="001F5EED" w:rsidRDefault="001F5EED" w:rsidP="001F5EED">
      <w:pPr>
        <w:pStyle w:val="Standardbullet"/>
      </w:pPr>
      <w:r>
        <w:t>Review the existing risk register developed at Initial Agreement stage focussed on strategic and client risks), update it for any change in assumptions, and record the impact of any control measures.</w:t>
      </w:r>
    </w:p>
    <w:p w:rsidR="001F5EED" w:rsidRDefault="001F5EED" w:rsidP="001F5EED">
      <w:pPr>
        <w:pStyle w:val="Standardbullet"/>
      </w:pPr>
      <w:r>
        <w:t>Add any further project / construction related risks to the risk register – the Risk Management guide provides a list of typical risks that might be expected at this stage of a project.</w:t>
      </w:r>
    </w:p>
    <w:p w:rsidR="001F5EED" w:rsidRDefault="001F5EED" w:rsidP="001F5EED">
      <w:pPr>
        <w:pStyle w:val="Standardbullet"/>
      </w:pPr>
      <w:r>
        <w:t>Update the assessment of each risk as a financial or non-financial risk, or confirm that it remains unquantifiable at this stage.  These risks should then be treated as follows:</w:t>
      </w:r>
    </w:p>
    <w:p w:rsidR="001F5EED" w:rsidRDefault="001F5EED" w:rsidP="001F5EED">
      <w:pPr>
        <w:pStyle w:val="Standardbullet"/>
        <w:numPr>
          <w:ilvl w:val="1"/>
          <w:numId w:val="23"/>
        </w:numPr>
      </w:pPr>
      <w:r>
        <w:t>All financial risks shall be used as the basis of the bottom-up quantification of risks for the project risk contingency.</w:t>
      </w:r>
    </w:p>
    <w:p w:rsidR="001F5EED" w:rsidRDefault="001F5EED" w:rsidP="001F5EED">
      <w:pPr>
        <w:pStyle w:val="Standardbullet"/>
        <w:numPr>
          <w:ilvl w:val="1"/>
          <w:numId w:val="23"/>
        </w:numPr>
      </w:pPr>
      <w:r>
        <w:lastRenderedPageBreak/>
        <w:t xml:space="preserve">The </w:t>
      </w:r>
      <w:r w:rsidRPr="0053191A">
        <w:rPr>
          <w:u w:val="single"/>
        </w:rPr>
        <w:t>main</w:t>
      </w:r>
      <w:r>
        <w:t xml:space="preserve"> non-financial risks should be used as part of the non-financial risk appraisal of project options in the Economic Case.</w:t>
      </w:r>
    </w:p>
    <w:p w:rsidR="001F5EED" w:rsidRDefault="001F5EED" w:rsidP="001F5EED">
      <w:pPr>
        <w:pStyle w:val="Standardbullet"/>
        <w:numPr>
          <w:ilvl w:val="1"/>
          <w:numId w:val="23"/>
        </w:numPr>
      </w:pPr>
      <w:r>
        <w:t>Reliance on unquantifiable risks shall be kept as low as reasonably possible, and replaced with financially quantifiable risks where appropriate to do so.</w:t>
      </w:r>
    </w:p>
    <w:p w:rsidR="001F5EED" w:rsidRDefault="001F5EED" w:rsidP="001F5EED">
      <w:pPr>
        <w:pStyle w:val="Standardbullet"/>
      </w:pPr>
      <w:r>
        <w:t>Provide more detailed information of control measures introduced, their effectiveness, and further measures to take.</w:t>
      </w:r>
    </w:p>
    <w:p w:rsidR="001F5EED" w:rsidRDefault="001F5EED" w:rsidP="001F5EED">
      <w:pPr>
        <w:pStyle w:val="Standardbullet"/>
      </w:pPr>
      <w:r>
        <w:t>Indentify and record the individual owner to be responsible for the control of each risk.</w:t>
      </w:r>
    </w:p>
    <w:p w:rsidR="001F5EED" w:rsidRDefault="001F5EED" w:rsidP="001F5EED">
      <w:pPr>
        <w:pStyle w:val="Standardbullet"/>
      </w:pPr>
      <w:r>
        <w:t>Review the outturn project cost (inclusive of risk contingency) against suitable benchmark costs to confirm that they are reasonably reported.</w:t>
      </w:r>
    </w:p>
    <w:p w:rsidR="001F5EED" w:rsidRDefault="001F5EED" w:rsidP="001F5EED">
      <w:pPr>
        <w:pStyle w:val="Standardbullet"/>
      </w:pPr>
      <w:r>
        <w:t>Follow confirmed governance arrangements for independent review (and reporting) of the project risk register and risk quantification by the project’s Senior Responsible Owner (SRO) or Project / Programme Board.</w:t>
      </w:r>
    </w:p>
    <w:p w:rsidR="001F5EED" w:rsidRPr="001D5DDB" w:rsidRDefault="001F5EED" w:rsidP="001F5EED">
      <w:pPr>
        <w:pStyle w:val="Standardparagraph0"/>
      </w:pPr>
      <w:r>
        <w:t>The outcome from these steps should be presented within this section of the OBC.</w:t>
      </w:r>
    </w:p>
    <w:p w:rsidR="001F5EED" w:rsidRDefault="001F5EED" w:rsidP="001F5EED">
      <w:pPr>
        <w:widowControl/>
        <w:tabs>
          <w:tab w:val="clear" w:pos="720"/>
          <w:tab w:val="clear" w:pos="1440"/>
          <w:tab w:val="clear" w:pos="2160"/>
          <w:tab w:val="clear" w:pos="2880"/>
          <w:tab w:val="clear" w:pos="4680"/>
          <w:tab w:val="clear" w:pos="5400"/>
          <w:tab w:val="clear" w:pos="9000"/>
        </w:tabs>
        <w:adjustRightInd/>
        <w:spacing w:after="200" w:line="276" w:lineRule="auto"/>
        <w:textAlignment w:val="auto"/>
      </w:pPr>
    </w:p>
    <w:p w:rsidR="001F5EED" w:rsidRPr="0009000B" w:rsidRDefault="001F5EED" w:rsidP="001F5EED">
      <w:pPr>
        <w:widowControl/>
        <w:tabs>
          <w:tab w:val="clear" w:pos="720"/>
          <w:tab w:val="clear" w:pos="1440"/>
          <w:tab w:val="clear" w:pos="2160"/>
          <w:tab w:val="clear" w:pos="2880"/>
          <w:tab w:val="clear" w:pos="4680"/>
          <w:tab w:val="clear" w:pos="5400"/>
          <w:tab w:val="clear" w:pos="9000"/>
        </w:tabs>
        <w:adjustRightInd/>
        <w:spacing w:after="200" w:line="276" w:lineRule="auto"/>
        <w:textAlignment w:val="auto"/>
      </w:pPr>
    </w:p>
    <w:p w:rsidR="001F5EED" w:rsidRDefault="001F5EED" w:rsidP="001F5EED">
      <w:pPr>
        <w:widowControl/>
        <w:tabs>
          <w:tab w:val="clear" w:pos="720"/>
          <w:tab w:val="clear" w:pos="1440"/>
          <w:tab w:val="clear" w:pos="2160"/>
          <w:tab w:val="clear" w:pos="2880"/>
          <w:tab w:val="clear" w:pos="4680"/>
          <w:tab w:val="clear" w:pos="5400"/>
          <w:tab w:val="clear" w:pos="9000"/>
        </w:tabs>
        <w:adjustRightInd/>
        <w:spacing w:after="200" w:line="276" w:lineRule="auto"/>
        <w:textAlignment w:val="auto"/>
      </w:pPr>
    </w:p>
    <w:p w:rsidR="001F5EED" w:rsidRDefault="001F5EED" w:rsidP="001F5EED">
      <w:pPr>
        <w:widowControl/>
        <w:tabs>
          <w:tab w:val="clear" w:pos="720"/>
          <w:tab w:val="clear" w:pos="1440"/>
          <w:tab w:val="clear" w:pos="2160"/>
          <w:tab w:val="clear" w:pos="2880"/>
          <w:tab w:val="clear" w:pos="4680"/>
          <w:tab w:val="clear" w:pos="5400"/>
          <w:tab w:val="clear" w:pos="9000"/>
        </w:tabs>
        <w:adjustRightInd/>
        <w:spacing w:after="200" w:line="276" w:lineRule="auto"/>
        <w:textAlignment w:val="auto"/>
        <w:rPr>
          <w:rFonts w:eastAsiaTheme="majorEastAsia" w:cstheme="majorBidi"/>
          <w:b/>
          <w:bCs/>
          <w:color w:val="000000" w:themeColor="text1"/>
          <w:sz w:val="28"/>
          <w:szCs w:val="28"/>
        </w:rPr>
      </w:pPr>
      <w:r>
        <w:br w:type="page"/>
      </w:r>
    </w:p>
    <w:p w:rsidR="001F5EED" w:rsidRDefault="007F6BBC" w:rsidP="001F5EED">
      <w:pPr>
        <w:pStyle w:val="Heading1"/>
      </w:pPr>
      <w:r>
        <w:rPr>
          <w:noProof/>
          <w:lang w:eastAsia="en-GB"/>
        </w:rPr>
        <w:lastRenderedPageBreak/>
        <w:pict>
          <v:group id="_x0000_s1571" style="position:absolute;left:0;text-align:left;margin-left:0;margin-top:39.15pt;width:396pt;height:117pt;z-index:251891712" coordorigin="1440,2340" coordsize="7920,2340">
            <v:rect id="_x0000_s1572" style="position:absolute;left:5040;top:2340;width:4320;height:540;v-text-anchor:middle" fillcolor="#31849b [2408]">
              <v:textbox style="mso-next-textbox:#_x0000_s1572">
                <w:txbxContent>
                  <w:p w:rsidR="003863F9" w:rsidRPr="00EA7DFB" w:rsidRDefault="003863F9" w:rsidP="001F5EED">
                    <w:pPr>
                      <w:spacing w:line="240" w:lineRule="auto"/>
                      <w:jc w:val="center"/>
                      <w:rPr>
                        <w:rFonts w:cs="Arial"/>
                        <w:b/>
                        <w:color w:val="FFFFFF" w:themeColor="background1"/>
                        <w:szCs w:val="24"/>
                      </w:rPr>
                    </w:pPr>
                    <w:r w:rsidRPr="00EA7DFB">
                      <w:rPr>
                        <w:rFonts w:cs="Arial"/>
                        <w:b/>
                        <w:color w:val="FFFFFF" w:themeColor="background1"/>
                        <w:szCs w:val="24"/>
                      </w:rPr>
                      <w:t>Response</w:t>
                    </w:r>
                  </w:p>
                </w:txbxContent>
              </v:textbox>
            </v:rect>
            <v:rect id="_x0000_s1573" style="position:absolute;left:2400;top:2340;width:2400;height:540;v-text-anchor:middle" fillcolor="#31849b [2408]">
              <v:textbox style="mso-next-textbox:#_x0000_s1573">
                <w:txbxContent>
                  <w:p w:rsidR="003863F9" w:rsidRPr="00EA7DFB" w:rsidRDefault="003863F9" w:rsidP="001F5EED">
                    <w:pPr>
                      <w:spacing w:line="240" w:lineRule="auto"/>
                      <w:jc w:val="center"/>
                      <w:rPr>
                        <w:rFonts w:cs="Arial"/>
                        <w:b/>
                        <w:color w:val="FFFFFF" w:themeColor="background1"/>
                        <w:szCs w:val="24"/>
                      </w:rPr>
                    </w:pPr>
                    <w:r w:rsidRPr="00EA7DFB">
                      <w:rPr>
                        <w:rFonts w:cs="Arial"/>
                        <w:b/>
                        <w:color w:val="FFFFFF" w:themeColor="background1"/>
                        <w:szCs w:val="24"/>
                      </w:rPr>
                      <w:t>Question</w:t>
                    </w:r>
                  </w:p>
                </w:txbxContent>
              </v:textbox>
            </v:rect>
            <v:rect id="_x0000_s1574" style="position:absolute;left:1440;top:3060;width:720;height:1620;v-text-anchor:middle" fillcolor="#bfbfbf [2412]">
              <v:textbox style="layout-flow:vertical;mso-layout-flow-alt:bottom-to-top;mso-next-textbox:#_x0000_s1574">
                <w:txbxContent>
                  <w:p w:rsidR="003863F9" w:rsidRPr="005B3097" w:rsidRDefault="003863F9" w:rsidP="001F5EED">
                    <w:pPr>
                      <w:spacing w:line="240" w:lineRule="auto"/>
                      <w:jc w:val="center"/>
                      <w:rPr>
                        <w:rFonts w:cs="Arial"/>
                        <w:b/>
                        <w:sz w:val="18"/>
                        <w:szCs w:val="18"/>
                      </w:rPr>
                    </w:pPr>
                    <w:r>
                      <w:rPr>
                        <w:rFonts w:cs="Arial"/>
                        <w:b/>
                        <w:sz w:val="18"/>
                        <w:szCs w:val="18"/>
                      </w:rPr>
                      <w:t xml:space="preserve">Commissioning </w:t>
                    </w:r>
                  </w:p>
                </w:txbxContent>
              </v:textbox>
            </v:rect>
            <v:rect id="_x0000_s1575" style="position:absolute;left:2400;top:3060;width:2400;height:1620;v-text-anchor:middle">
              <v:textbox style="mso-next-textbox:#_x0000_s1575">
                <w:txbxContent>
                  <w:p w:rsidR="003863F9" w:rsidRPr="00BE4669" w:rsidRDefault="003863F9" w:rsidP="001F5EED">
                    <w:pPr>
                      <w:spacing w:line="240" w:lineRule="auto"/>
                      <w:jc w:val="left"/>
                      <w:rPr>
                        <w:rFonts w:cs="Arial"/>
                        <w:sz w:val="20"/>
                      </w:rPr>
                    </w:pPr>
                    <w:r w:rsidRPr="00BE4669">
                      <w:rPr>
                        <w:rFonts w:cs="Arial"/>
                        <w:sz w:val="20"/>
                      </w:rPr>
                      <w:t>What commissioning arrange</w:t>
                    </w:r>
                    <w:r>
                      <w:rPr>
                        <w:rFonts w:cs="Arial"/>
                        <w:sz w:val="20"/>
                      </w:rPr>
                      <w:t>ments are being planned</w:t>
                    </w:r>
                    <w:r w:rsidRPr="00BE4669">
                      <w:rPr>
                        <w:rFonts w:cs="Arial"/>
                        <w:sz w:val="20"/>
                      </w:rPr>
                      <w:t>?</w:t>
                    </w:r>
                  </w:p>
                </w:txbxContent>
              </v:textbox>
            </v:rect>
            <v:rect id="_x0000_s1576" style="position:absolute;left:5040;top:3060;width:4320;height:1620;v-text-anchor:middle">
              <v:textbox style="mso-next-textbox:#_x0000_s1576">
                <w:txbxContent>
                  <w:p w:rsidR="003863F9" w:rsidRPr="00BE4669" w:rsidRDefault="003863F9" w:rsidP="001F5EED">
                    <w:pPr>
                      <w:spacing w:line="240" w:lineRule="auto"/>
                      <w:jc w:val="left"/>
                      <w:rPr>
                        <w:rFonts w:cs="Arial"/>
                        <w:sz w:val="18"/>
                        <w:szCs w:val="18"/>
                      </w:rPr>
                    </w:pPr>
                    <w:r w:rsidRPr="00BE4669">
                      <w:rPr>
                        <w:rFonts w:cs="Arial"/>
                        <w:sz w:val="18"/>
                        <w:szCs w:val="18"/>
                      </w:rPr>
                      <w:t>Outline:</w:t>
                    </w:r>
                  </w:p>
                  <w:p w:rsidR="003863F9" w:rsidRPr="00BE4669" w:rsidRDefault="003863F9" w:rsidP="001F5EED">
                    <w:pPr>
                      <w:pStyle w:val="Bullettable"/>
                      <w:ind w:left="720" w:hanging="360"/>
                      <w:contextualSpacing/>
                      <w:rPr>
                        <w:sz w:val="18"/>
                        <w:szCs w:val="18"/>
                      </w:rPr>
                    </w:pPr>
                    <w:r w:rsidRPr="00BE4669">
                      <w:rPr>
                        <w:sz w:val="18"/>
                        <w:szCs w:val="18"/>
                      </w:rPr>
                      <w:t>Reporting structure aligned to main project structure.</w:t>
                    </w:r>
                  </w:p>
                  <w:p w:rsidR="003863F9" w:rsidRPr="00BE4669" w:rsidRDefault="003863F9" w:rsidP="001F5EED">
                    <w:pPr>
                      <w:pStyle w:val="Bullettable"/>
                      <w:ind w:left="720" w:hanging="360"/>
                      <w:contextualSpacing/>
                      <w:rPr>
                        <w:sz w:val="18"/>
                        <w:szCs w:val="18"/>
                      </w:rPr>
                    </w:pPr>
                    <w:r>
                      <w:rPr>
                        <w:sz w:val="18"/>
                        <w:szCs w:val="18"/>
                      </w:rPr>
                      <w:t>Person dedicated to leading this process</w:t>
                    </w:r>
                  </w:p>
                  <w:p w:rsidR="003863F9" w:rsidRDefault="003863F9" w:rsidP="001F5EED">
                    <w:pPr>
                      <w:pStyle w:val="Bullettable"/>
                      <w:spacing w:before="0" w:after="0"/>
                      <w:ind w:left="714" w:hanging="357"/>
                      <w:contextualSpacing/>
                      <w:rPr>
                        <w:sz w:val="18"/>
                        <w:szCs w:val="18"/>
                      </w:rPr>
                    </w:pPr>
                    <w:r>
                      <w:rPr>
                        <w:sz w:val="18"/>
                        <w:szCs w:val="18"/>
                      </w:rPr>
                      <w:t>Key stages</w:t>
                    </w:r>
                  </w:p>
                  <w:p w:rsidR="003863F9" w:rsidRPr="00BE4669" w:rsidRDefault="003863F9" w:rsidP="001F5EED">
                    <w:pPr>
                      <w:pStyle w:val="Bullettable"/>
                      <w:spacing w:before="0" w:after="0"/>
                      <w:ind w:left="714" w:hanging="357"/>
                      <w:contextualSpacing/>
                      <w:rPr>
                        <w:sz w:val="18"/>
                        <w:szCs w:val="18"/>
                      </w:rPr>
                    </w:pPr>
                    <w:r>
                      <w:rPr>
                        <w:sz w:val="18"/>
                        <w:szCs w:val="18"/>
                      </w:rPr>
                      <w:t>Resource requirements</w:t>
                    </w:r>
                  </w:p>
                </w:txbxContent>
              </v:textbox>
            </v:rect>
            <w10:wrap type="topAndBottom"/>
          </v:group>
        </w:pict>
      </w:r>
      <w:r w:rsidR="001F5EED">
        <w:t>Commissioning</w:t>
      </w:r>
    </w:p>
    <w:p w:rsidR="001F5EED" w:rsidRPr="008C187E" w:rsidRDefault="001F5EED" w:rsidP="001F5EED">
      <w:pPr>
        <w:pStyle w:val="NoSpacing"/>
      </w:pPr>
    </w:p>
    <w:p w:rsidR="001F5EED" w:rsidRDefault="001F5EED" w:rsidP="001F5EED">
      <w:pPr>
        <w:pStyle w:val="StandardParagraph"/>
        <w:rPr>
          <w:rStyle w:val="Emphasis"/>
          <w:i w:val="0"/>
          <w:iCs w:val="0"/>
        </w:rPr>
      </w:pPr>
      <w:r>
        <w:t xml:space="preserve">A </w:t>
      </w:r>
      <w:r w:rsidR="00356DE6">
        <w:t xml:space="preserve">separate </w:t>
      </w:r>
      <w:r>
        <w:t>Commissioning guide is available as part of the SCIM manuals which describes the main activities expected throughout the planning and delivery of the commissioning process, and how it overlaps with the business case and ‘BIM soft landing’ processes.</w:t>
      </w:r>
    </w:p>
    <w:p w:rsidR="001F5EED" w:rsidRDefault="001F5EED" w:rsidP="001F5EED">
      <w:pPr>
        <w:pStyle w:val="StandardParagraph"/>
        <w:rPr>
          <w:rStyle w:val="Emphasis"/>
          <w:i w:val="0"/>
          <w:iCs w:val="0"/>
        </w:rPr>
      </w:pPr>
      <w:r>
        <w:rPr>
          <w:rStyle w:val="Emphasis"/>
          <w:i w:val="0"/>
          <w:iCs w:val="0"/>
        </w:rPr>
        <w:t>At OBC stage, an outline is required of the commissioning arrangements being planned for the project, which will set out the following information:</w:t>
      </w:r>
    </w:p>
    <w:p w:rsidR="001F5EED" w:rsidRDefault="001F5EED" w:rsidP="001F5EED">
      <w:pPr>
        <w:pStyle w:val="StandardBullet0"/>
      </w:pPr>
      <w:r>
        <w:t>Deta</w:t>
      </w:r>
      <w:r w:rsidR="00356DE6">
        <w:t>ils of the reporting structure and</w:t>
      </w:r>
      <w:r>
        <w:t xml:space="preserve"> governance arrangements for commissioning which align with the overarching project structure.</w:t>
      </w:r>
    </w:p>
    <w:p w:rsidR="001F5EED" w:rsidRDefault="001F5EED" w:rsidP="001F5EED">
      <w:pPr>
        <w:pStyle w:val="StandardBullet0"/>
      </w:pPr>
      <w:r>
        <w:t xml:space="preserve">Identification of the person dedicated to leading on this aspect of the project; including an outline of their role and responsibilities, an indication of their competency for carrying out this role, and continuity plans in place for this important role. </w:t>
      </w:r>
    </w:p>
    <w:p w:rsidR="001F5EED" w:rsidRDefault="001F5EED" w:rsidP="001F5EED">
      <w:pPr>
        <w:pStyle w:val="StandardBullet0"/>
      </w:pPr>
      <w:r>
        <w:t xml:space="preserve">An outline of the key stages expected within the commissioning process and an indication of appropriate time scales. </w:t>
      </w:r>
    </w:p>
    <w:p w:rsidR="001F5EED" w:rsidRDefault="001F5EED" w:rsidP="001F5EED">
      <w:pPr>
        <w:pStyle w:val="StandardBullet0"/>
      </w:pPr>
      <w:r>
        <w:t xml:space="preserve">An outline of the resources needed to implement this plan; including any recruitment plans to fill any vacant roles. </w:t>
      </w:r>
    </w:p>
    <w:p w:rsidR="001F5EED" w:rsidRDefault="001F5EED" w:rsidP="001F5EED">
      <w:pPr>
        <w:pStyle w:val="Standardparagraph0"/>
        <w:rPr>
          <w:rStyle w:val="Emphasis"/>
          <w:i w:val="0"/>
          <w:iCs w:val="0"/>
        </w:rPr>
      </w:pPr>
      <w:r>
        <w:rPr>
          <w:rStyle w:val="Emphasis"/>
          <w:i w:val="0"/>
          <w:iCs w:val="0"/>
        </w:rPr>
        <w:t>A full Commissioning Master Plan will need to be developed and presented in the Full Business Case.</w:t>
      </w:r>
    </w:p>
    <w:p w:rsidR="001F5EED" w:rsidRDefault="001F5EED" w:rsidP="001F5EED">
      <w:pPr>
        <w:pStyle w:val="Standardparagraph0"/>
      </w:pPr>
    </w:p>
    <w:p w:rsidR="001F5EED" w:rsidRDefault="001F5EED" w:rsidP="001F5EED">
      <w:pPr>
        <w:pStyle w:val="Heading2"/>
        <w:rPr>
          <w:sz w:val="28"/>
          <w:szCs w:val="28"/>
        </w:rPr>
      </w:pPr>
      <w:r>
        <w:br w:type="page"/>
      </w:r>
    </w:p>
    <w:p w:rsidR="001F5EED" w:rsidRDefault="007F6BBC" w:rsidP="001F5EED">
      <w:pPr>
        <w:pStyle w:val="Heading1"/>
      </w:pPr>
      <w:r>
        <w:rPr>
          <w:noProof/>
          <w:lang w:eastAsia="en-GB"/>
        </w:rPr>
        <w:lastRenderedPageBreak/>
        <w:pict>
          <v:group id="_x0000_s1565" style="position:absolute;left:0;text-align:left;margin-left:-.65pt;margin-top:39.8pt;width:396pt;height:107.35pt;z-index:251890688" coordorigin="1440,2340" coordsize="7920,2880">
            <v:rect id="_x0000_s1566" style="position:absolute;left:5040;top:2340;width:4320;height:540;v-text-anchor:middle" fillcolor="#31849b [2408]">
              <v:textbox style="mso-next-textbox:#_x0000_s1566">
                <w:txbxContent>
                  <w:p w:rsidR="003863F9" w:rsidRPr="00EA7DFB" w:rsidRDefault="003863F9" w:rsidP="001F5EED">
                    <w:pPr>
                      <w:spacing w:line="240" w:lineRule="auto"/>
                      <w:jc w:val="center"/>
                      <w:rPr>
                        <w:rFonts w:cs="Arial"/>
                        <w:b/>
                        <w:color w:val="FFFFFF" w:themeColor="background1"/>
                        <w:szCs w:val="24"/>
                      </w:rPr>
                    </w:pPr>
                    <w:r w:rsidRPr="00EA7DFB">
                      <w:rPr>
                        <w:rFonts w:cs="Arial"/>
                        <w:b/>
                        <w:color w:val="FFFFFF" w:themeColor="background1"/>
                        <w:szCs w:val="24"/>
                      </w:rPr>
                      <w:t>Response</w:t>
                    </w:r>
                  </w:p>
                </w:txbxContent>
              </v:textbox>
            </v:rect>
            <v:rect id="_x0000_s1567" style="position:absolute;left:2400;top:2340;width:2400;height:540;v-text-anchor:middle" fillcolor="#31849b [2408]">
              <v:textbox style="mso-next-textbox:#_x0000_s1567">
                <w:txbxContent>
                  <w:p w:rsidR="003863F9" w:rsidRPr="00EA7DFB" w:rsidRDefault="003863F9" w:rsidP="001F5EED">
                    <w:pPr>
                      <w:spacing w:line="240" w:lineRule="auto"/>
                      <w:jc w:val="center"/>
                      <w:rPr>
                        <w:rFonts w:cs="Arial"/>
                        <w:b/>
                        <w:color w:val="FFFFFF" w:themeColor="background1"/>
                        <w:szCs w:val="24"/>
                      </w:rPr>
                    </w:pPr>
                    <w:r w:rsidRPr="00EA7DFB">
                      <w:rPr>
                        <w:rFonts w:cs="Arial"/>
                        <w:b/>
                        <w:color w:val="FFFFFF" w:themeColor="background1"/>
                        <w:szCs w:val="24"/>
                      </w:rPr>
                      <w:t>Question</w:t>
                    </w:r>
                  </w:p>
                </w:txbxContent>
              </v:textbox>
            </v:rect>
            <v:rect id="_x0000_s1568" style="position:absolute;left:1440;top:3060;width:720;height:2160;v-text-anchor:middle" fillcolor="#bfbfbf [2412]">
              <v:textbox style="layout-flow:vertical;mso-layout-flow-alt:bottom-to-top;mso-next-textbox:#_x0000_s1568">
                <w:txbxContent>
                  <w:p w:rsidR="003863F9" w:rsidRPr="005B3097" w:rsidRDefault="003863F9" w:rsidP="001F5EED">
                    <w:pPr>
                      <w:spacing w:line="240" w:lineRule="auto"/>
                      <w:jc w:val="center"/>
                      <w:rPr>
                        <w:rFonts w:cs="Arial"/>
                        <w:b/>
                        <w:sz w:val="18"/>
                        <w:szCs w:val="18"/>
                      </w:rPr>
                    </w:pPr>
                    <w:r>
                      <w:rPr>
                        <w:rFonts w:cs="Arial"/>
                        <w:b/>
                        <w:sz w:val="18"/>
                        <w:szCs w:val="18"/>
                      </w:rPr>
                      <w:t xml:space="preserve">Project Evaluation </w:t>
                    </w:r>
                  </w:p>
                </w:txbxContent>
              </v:textbox>
            </v:rect>
            <v:rect id="_x0000_s1569" style="position:absolute;left:2400;top:3060;width:2400;height:2160;v-text-anchor:middle">
              <v:textbox style="mso-next-textbox:#_x0000_s1569">
                <w:txbxContent>
                  <w:p w:rsidR="003863F9" w:rsidRPr="00BE4669" w:rsidRDefault="003863F9" w:rsidP="001F5EED">
                    <w:pPr>
                      <w:spacing w:before="240" w:after="120" w:line="240" w:lineRule="auto"/>
                      <w:jc w:val="left"/>
                      <w:rPr>
                        <w:rFonts w:cs="Arial"/>
                        <w:sz w:val="20"/>
                      </w:rPr>
                    </w:pPr>
                    <w:r w:rsidRPr="00BE4669">
                      <w:rPr>
                        <w:rFonts w:cs="Arial"/>
                        <w:sz w:val="20"/>
                      </w:rPr>
                      <w:t>How will the success of the project be assessed?</w:t>
                    </w:r>
                  </w:p>
                </w:txbxContent>
              </v:textbox>
            </v:rect>
            <v:rect id="_x0000_s1570" style="position:absolute;left:5040;top:3060;width:4320;height:2160">
              <v:textbox style="mso-next-textbox:#_x0000_s1570">
                <w:txbxContent>
                  <w:p w:rsidR="003863F9" w:rsidRPr="00BE4669" w:rsidRDefault="003863F9" w:rsidP="001F5EED">
                    <w:pPr>
                      <w:spacing w:before="120" w:after="120" w:line="240" w:lineRule="auto"/>
                      <w:jc w:val="left"/>
                      <w:rPr>
                        <w:rFonts w:cs="Arial"/>
                        <w:sz w:val="18"/>
                        <w:szCs w:val="18"/>
                      </w:rPr>
                    </w:pPr>
                    <w:r w:rsidRPr="00BE4669">
                      <w:rPr>
                        <w:rFonts w:cs="Arial"/>
                        <w:sz w:val="18"/>
                        <w:szCs w:val="18"/>
                      </w:rPr>
                      <w:t>Outline:</w:t>
                    </w:r>
                  </w:p>
                  <w:p w:rsidR="003863F9" w:rsidRPr="00BE4669" w:rsidRDefault="003863F9" w:rsidP="001F5EED">
                    <w:pPr>
                      <w:pStyle w:val="Bullettable"/>
                      <w:ind w:left="720" w:hanging="360"/>
                      <w:contextualSpacing/>
                      <w:rPr>
                        <w:sz w:val="18"/>
                        <w:szCs w:val="18"/>
                      </w:rPr>
                    </w:pPr>
                    <w:r>
                      <w:rPr>
                        <w:sz w:val="18"/>
                        <w:szCs w:val="18"/>
                      </w:rPr>
                      <w:t>Person dedicated to leading this process</w:t>
                    </w:r>
                  </w:p>
                  <w:p w:rsidR="003863F9" w:rsidRDefault="003863F9" w:rsidP="001F5EED">
                    <w:pPr>
                      <w:pStyle w:val="Bullettable"/>
                      <w:spacing w:before="0" w:after="0"/>
                      <w:ind w:left="714" w:hanging="357"/>
                      <w:contextualSpacing/>
                      <w:rPr>
                        <w:sz w:val="18"/>
                        <w:szCs w:val="18"/>
                      </w:rPr>
                    </w:pPr>
                    <w:r>
                      <w:rPr>
                        <w:sz w:val="18"/>
                        <w:szCs w:val="18"/>
                      </w:rPr>
                      <w:t>Key stages</w:t>
                    </w:r>
                  </w:p>
                  <w:p w:rsidR="003863F9" w:rsidRPr="00134E57" w:rsidRDefault="003863F9" w:rsidP="001F5EED">
                    <w:pPr>
                      <w:pStyle w:val="Bullettable"/>
                      <w:spacing w:before="0" w:after="0"/>
                      <w:ind w:left="714" w:hanging="357"/>
                      <w:contextualSpacing/>
                      <w:rPr>
                        <w:sz w:val="18"/>
                        <w:szCs w:val="18"/>
                      </w:rPr>
                    </w:pPr>
                    <w:r>
                      <w:rPr>
                        <w:sz w:val="18"/>
                        <w:szCs w:val="18"/>
                      </w:rPr>
                      <w:t>Resource requirements</w:t>
                    </w:r>
                  </w:p>
                </w:txbxContent>
              </v:textbox>
            </v:rect>
            <w10:wrap type="topAndBottom"/>
          </v:group>
        </w:pict>
      </w:r>
      <w:r w:rsidR="001F5EED">
        <w:t>Project Evaluation</w:t>
      </w:r>
    </w:p>
    <w:p w:rsidR="001F5EED" w:rsidRDefault="001F5EED" w:rsidP="001F5EED">
      <w:pPr>
        <w:pStyle w:val="NoSpacing"/>
      </w:pPr>
    </w:p>
    <w:p w:rsidR="001F5EED" w:rsidRDefault="001F5EED" w:rsidP="001F5EED">
      <w:pPr>
        <w:pStyle w:val="StandardParagraph"/>
      </w:pPr>
      <w:r>
        <w:t xml:space="preserve">A </w:t>
      </w:r>
      <w:r w:rsidR="00356DE6">
        <w:t xml:space="preserve">separate </w:t>
      </w:r>
      <w:r>
        <w:t xml:space="preserve">Project </w:t>
      </w:r>
      <w:r w:rsidR="00356DE6">
        <w:t xml:space="preserve">Monitoring and Service Benefits </w:t>
      </w:r>
      <w:r>
        <w:t xml:space="preserve">Evaluation guide is available as part of the SCIM manuals which describes how to monitor </w:t>
      </w:r>
      <w:r w:rsidR="00146B39">
        <w:t>project progress and evaluate the realisation</w:t>
      </w:r>
      <w:r>
        <w:t xml:space="preserve"> of the expected benefits from the project as an indic</w:t>
      </w:r>
      <w:r w:rsidR="00146B39">
        <w:t>ation of a successful outcome to the project</w:t>
      </w:r>
      <w:r>
        <w:t xml:space="preserve">. </w:t>
      </w:r>
    </w:p>
    <w:p w:rsidR="001F5EED" w:rsidRDefault="001F5EED" w:rsidP="001F5EED">
      <w:pPr>
        <w:pStyle w:val="StandardParagraph"/>
        <w:rPr>
          <w:rStyle w:val="Emphasis"/>
          <w:i w:val="0"/>
          <w:iCs w:val="0"/>
        </w:rPr>
      </w:pPr>
      <w:r>
        <w:rPr>
          <w:rStyle w:val="Emphasis"/>
          <w:i w:val="0"/>
          <w:iCs w:val="0"/>
        </w:rPr>
        <w:t>At OBC stage, an outline is required of the project evaluation arrangements being planned for the project.  This will set out the following information:</w:t>
      </w:r>
    </w:p>
    <w:p w:rsidR="001F5EED" w:rsidRDefault="001F5EED" w:rsidP="001F5EED">
      <w:pPr>
        <w:pStyle w:val="StandardBullet0"/>
      </w:pPr>
      <w:r>
        <w:t xml:space="preserve">Identification of the person dedicated to leading on this aspect of the project; including an outline of their role and responsibilities, an indication of their competency for carrying out this role, and continuity plans in place for this important role. </w:t>
      </w:r>
    </w:p>
    <w:p w:rsidR="001F5EED" w:rsidRDefault="001F5EED" w:rsidP="001F5EED">
      <w:pPr>
        <w:pStyle w:val="StandardBullet0"/>
      </w:pPr>
      <w:r>
        <w:t>An outline of the key stages expected for monitoring and evaluating the success of the project.</w:t>
      </w:r>
    </w:p>
    <w:p w:rsidR="001F5EED" w:rsidRDefault="001F5EED" w:rsidP="001F5EED">
      <w:pPr>
        <w:pStyle w:val="StandardBullet0"/>
      </w:pPr>
      <w:r w:rsidRPr="007A152E">
        <w:t xml:space="preserve">An outline of the </w:t>
      </w:r>
      <w:r>
        <w:t xml:space="preserve">team who will be responsible for undertaking Project Monitoring and Evaluation, and their respective roles.  It should include any </w:t>
      </w:r>
      <w:r w:rsidRPr="007A152E">
        <w:t xml:space="preserve">recruitment plans </w:t>
      </w:r>
      <w:r>
        <w:t>needed to fill</w:t>
      </w:r>
      <w:r w:rsidRPr="007A152E">
        <w:t xml:space="preserve"> vacant roles. </w:t>
      </w:r>
      <w:r>
        <w:t xml:space="preserve"> </w:t>
      </w:r>
    </w:p>
    <w:p w:rsidR="001F5EED" w:rsidRPr="00E35A51" w:rsidRDefault="001F5EED" w:rsidP="00E35A51">
      <w:pPr>
        <w:pStyle w:val="Standardparagraph0"/>
        <w:rPr>
          <w:color w:val="000000" w:themeColor="text1"/>
        </w:rPr>
      </w:pPr>
      <w:r>
        <w:rPr>
          <w:rStyle w:val="Emphasis"/>
          <w:i w:val="0"/>
          <w:iCs w:val="0"/>
        </w:rPr>
        <w:t>A full Project Evaluation Plan will need to be presented in the Full Business Case.</w:t>
      </w:r>
    </w:p>
    <w:p w:rsidR="00E65EBA" w:rsidRDefault="00E65EBA">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rPr>
          <w:rFonts w:eastAsiaTheme="majorEastAsia" w:cstheme="majorBidi"/>
          <w:b/>
          <w:bCs/>
          <w:color w:val="000000" w:themeColor="text1"/>
          <w:sz w:val="28"/>
          <w:szCs w:val="28"/>
        </w:rPr>
      </w:pPr>
    </w:p>
    <w:sectPr w:rsidR="00E65EBA" w:rsidSect="001B021C">
      <w:footerReference w:type="default" r:id="rId18"/>
      <w:pgSz w:w="11906" w:h="16838" w:code="9"/>
      <w:pgMar w:top="1588" w:right="1418" w:bottom="1418" w:left="147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63F9" w:rsidRDefault="003863F9" w:rsidP="008009D1">
      <w:pPr>
        <w:spacing w:line="240" w:lineRule="auto"/>
      </w:pPr>
      <w:r>
        <w:separator/>
      </w:r>
    </w:p>
  </w:endnote>
  <w:endnote w:type="continuationSeparator" w:id="0">
    <w:p w:rsidR="003863F9" w:rsidRDefault="003863F9" w:rsidP="008009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Cambria"/>
    <w:panose1 w:val="00000000000000000000"/>
    <w:charset w:val="00"/>
    <w:family w:val="auto"/>
    <w:notTrueType/>
    <w:pitch w:val="default"/>
    <w:sig w:usb0="00000003" w:usb1="08080000" w:usb2="00000010"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F9" w:rsidRPr="00CC4B9F" w:rsidRDefault="003863F9">
    <w:pPr>
      <w:pStyle w:val="Footer"/>
      <w:rPr>
        <w:sz w:val="20"/>
      </w:rPr>
    </w:pPr>
    <w:r>
      <w:tab/>
    </w:r>
    <w:r>
      <w:tab/>
    </w:r>
    <w:r>
      <w:rPr>
        <w:sz w:val="20"/>
      </w:rPr>
      <w:t>Latest drafting date: 10</w:t>
    </w:r>
    <w:r w:rsidRPr="00CC4B9F">
      <w:rPr>
        <w:sz w:val="20"/>
      </w:rPr>
      <w:t>/02/2017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F9" w:rsidRPr="00EB3A24" w:rsidRDefault="003863F9" w:rsidP="003B79E6">
    <w:pPr>
      <w:pStyle w:val="Footer"/>
      <w:pBdr>
        <w:top w:val="single" w:sz="4" w:space="1" w:color="auto"/>
      </w:pBdr>
      <w:jc w:val="left"/>
      <w:rPr>
        <w:rFonts w:cs="Arial"/>
        <w:sz w:val="20"/>
      </w:rPr>
    </w:pPr>
    <w:r>
      <w:rPr>
        <w:sz w:val="20"/>
      </w:rPr>
      <w:t>Contents</w:t>
    </w:r>
    <w:r>
      <w:rPr>
        <w:sz w:val="20"/>
      </w:rPr>
      <w:tab/>
    </w:r>
    <w:r w:rsidRPr="003B79E6">
      <w:rPr>
        <w:rFonts w:cs="Arial"/>
        <w:sz w:val="20"/>
      </w:rPr>
      <w:t xml:space="preserve"> </w:t>
    </w:r>
    <w:r>
      <w:rPr>
        <w:rFonts w:cs="Arial"/>
        <w:sz w:val="20"/>
      </w:rPr>
      <w:tab/>
      <w:t xml:space="preserve">Page </w:t>
    </w:r>
    <w:r w:rsidR="007F6BBC" w:rsidRPr="00B45860">
      <w:rPr>
        <w:rFonts w:cs="Arial"/>
        <w:sz w:val="20"/>
      </w:rPr>
      <w:fldChar w:fldCharType="begin"/>
    </w:r>
    <w:r w:rsidRPr="00B45860">
      <w:rPr>
        <w:rFonts w:cs="Arial"/>
        <w:sz w:val="20"/>
      </w:rPr>
      <w:instrText xml:space="preserve"> PAGE   \* MERGEFORMAT </w:instrText>
    </w:r>
    <w:r w:rsidR="007F6BBC" w:rsidRPr="00B45860">
      <w:rPr>
        <w:rFonts w:cs="Arial"/>
        <w:sz w:val="20"/>
      </w:rPr>
      <w:fldChar w:fldCharType="separate"/>
    </w:r>
    <w:r w:rsidR="00995AE8">
      <w:rPr>
        <w:rFonts w:cs="Arial"/>
        <w:noProof/>
        <w:sz w:val="20"/>
      </w:rPr>
      <w:t>1</w:t>
    </w:r>
    <w:r w:rsidR="007F6BBC" w:rsidRPr="00B45860">
      <w:rPr>
        <w:rFonts w:cs="Arial"/>
        <w:sz w:val="20"/>
      </w:rPr>
      <w:fldChar w:fldCharType="end"/>
    </w:r>
    <w:r>
      <w:rPr>
        <w:rFonts w:cs="Arial"/>
        <w:sz w:val="20"/>
      </w:rPr>
      <w:tab/>
    </w:r>
    <w:r>
      <w:rPr>
        <w:rFonts w:cs="Arial"/>
        <w:sz w:val="20"/>
      </w:rPr>
      <w:tab/>
    </w:r>
    <w:r>
      <w:rPr>
        <w:rFonts w:cs="Arial"/>
        <w:sz w:val="20"/>
      </w:rPr>
      <w:tab/>
    </w:r>
    <w:r>
      <w:rPr>
        <w:rFonts w:cs="Arial"/>
        <w:sz w:val="20"/>
      </w:rPr>
      <w:tab/>
    </w:r>
    <w:r>
      <w:rPr>
        <w:rFonts w:cs="Arial"/>
        <w:sz w:val="20"/>
      </w:rPr>
      <w:tab/>
      <w:t>Appendix C</w:t>
    </w:r>
  </w:p>
  <w:p w:rsidR="003863F9" w:rsidRDefault="003863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F9" w:rsidRPr="00EB3A24" w:rsidRDefault="003863F9" w:rsidP="003B79E6">
    <w:pPr>
      <w:pStyle w:val="Footer"/>
      <w:pBdr>
        <w:top w:val="single" w:sz="4" w:space="1" w:color="auto"/>
      </w:pBdr>
      <w:jc w:val="left"/>
      <w:rPr>
        <w:rFonts w:cs="Arial"/>
        <w:sz w:val="20"/>
      </w:rPr>
    </w:pPr>
    <w:r>
      <w:rPr>
        <w:sz w:val="20"/>
      </w:rPr>
      <w:t>Introduction</w:t>
    </w:r>
    <w:r>
      <w:rPr>
        <w:sz w:val="20"/>
      </w:rPr>
      <w:tab/>
    </w:r>
    <w:r w:rsidRPr="003B79E6">
      <w:rPr>
        <w:rFonts w:cs="Arial"/>
        <w:sz w:val="20"/>
      </w:rPr>
      <w:t xml:space="preserve"> </w:t>
    </w:r>
    <w:r>
      <w:rPr>
        <w:rFonts w:cs="Arial"/>
        <w:sz w:val="20"/>
      </w:rPr>
      <w:tab/>
      <w:t xml:space="preserve">Page </w:t>
    </w:r>
    <w:r w:rsidR="007F6BBC" w:rsidRPr="00B45860">
      <w:rPr>
        <w:rFonts w:cs="Arial"/>
        <w:sz w:val="20"/>
      </w:rPr>
      <w:fldChar w:fldCharType="begin"/>
    </w:r>
    <w:r w:rsidRPr="00B45860">
      <w:rPr>
        <w:rFonts w:cs="Arial"/>
        <w:sz w:val="20"/>
      </w:rPr>
      <w:instrText xml:space="preserve"> PAGE   \* MERGEFORMAT </w:instrText>
    </w:r>
    <w:r w:rsidR="007F6BBC" w:rsidRPr="00B45860">
      <w:rPr>
        <w:rFonts w:cs="Arial"/>
        <w:sz w:val="20"/>
      </w:rPr>
      <w:fldChar w:fldCharType="separate"/>
    </w:r>
    <w:r w:rsidR="00995AE8">
      <w:rPr>
        <w:rFonts w:cs="Arial"/>
        <w:noProof/>
        <w:sz w:val="20"/>
      </w:rPr>
      <w:t>1</w:t>
    </w:r>
    <w:r w:rsidR="007F6BBC" w:rsidRPr="00B45860">
      <w:rPr>
        <w:rFonts w:cs="Arial"/>
        <w:sz w:val="20"/>
      </w:rPr>
      <w:fldChar w:fldCharType="end"/>
    </w:r>
    <w:r>
      <w:rPr>
        <w:rFonts w:cs="Arial"/>
        <w:sz w:val="20"/>
      </w:rPr>
      <w:tab/>
    </w:r>
    <w:r>
      <w:rPr>
        <w:rFonts w:cs="Arial"/>
        <w:sz w:val="20"/>
      </w:rPr>
      <w:tab/>
    </w:r>
    <w:r>
      <w:rPr>
        <w:rFonts w:cs="Arial"/>
        <w:sz w:val="20"/>
      </w:rPr>
      <w:tab/>
    </w:r>
    <w:r>
      <w:rPr>
        <w:rFonts w:cs="Arial"/>
        <w:sz w:val="20"/>
      </w:rPr>
      <w:tab/>
    </w:r>
    <w:r>
      <w:rPr>
        <w:rFonts w:cs="Arial"/>
        <w:sz w:val="20"/>
      </w:rPr>
      <w:tab/>
      <w:t>Appendix C</w:t>
    </w:r>
  </w:p>
  <w:p w:rsidR="003863F9" w:rsidRDefault="003863F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F9" w:rsidRPr="00EB3A24" w:rsidRDefault="003863F9" w:rsidP="003B79E6">
    <w:pPr>
      <w:pStyle w:val="Footer"/>
      <w:pBdr>
        <w:top w:val="single" w:sz="4" w:space="1" w:color="auto"/>
      </w:pBdr>
      <w:jc w:val="left"/>
      <w:rPr>
        <w:rFonts w:cs="Arial"/>
        <w:sz w:val="20"/>
      </w:rPr>
    </w:pPr>
    <w:r>
      <w:rPr>
        <w:sz w:val="20"/>
      </w:rPr>
      <w:t>Strategic Case</w:t>
    </w:r>
    <w:r>
      <w:rPr>
        <w:sz w:val="20"/>
      </w:rPr>
      <w:tab/>
    </w:r>
    <w:r w:rsidRPr="003B79E6">
      <w:rPr>
        <w:rFonts w:cs="Arial"/>
        <w:sz w:val="20"/>
      </w:rPr>
      <w:t xml:space="preserve"> </w:t>
    </w:r>
    <w:r>
      <w:rPr>
        <w:rFonts w:cs="Arial"/>
        <w:sz w:val="20"/>
      </w:rPr>
      <w:tab/>
      <w:t xml:space="preserve">Page </w:t>
    </w:r>
    <w:r w:rsidR="007F6BBC" w:rsidRPr="00B45860">
      <w:rPr>
        <w:rFonts w:cs="Arial"/>
        <w:sz w:val="20"/>
      </w:rPr>
      <w:fldChar w:fldCharType="begin"/>
    </w:r>
    <w:r w:rsidRPr="00B45860">
      <w:rPr>
        <w:rFonts w:cs="Arial"/>
        <w:sz w:val="20"/>
      </w:rPr>
      <w:instrText xml:space="preserve"> PAGE   \* MERGEFORMAT </w:instrText>
    </w:r>
    <w:r w:rsidR="007F6BBC" w:rsidRPr="00B45860">
      <w:rPr>
        <w:rFonts w:cs="Arial"/>
        <w:sz w:val="20"/>
      </w:rPr>
      <w:fldChar w:fldCharType="separate"/>
    </w:r>
    <w:r w:rsidR="00995AE8">
      <w:rPr>
        <w:rFonts w:cs="Arial"/>
        <w:noProof/>
        <w:sz w:val="20"/>
      </w:rPr>
      <w:t>6</w:t>
    </w:r>
    <w:r w:rsidR="007F6BBC" w:rsidRPr="00B45860">
      <w:rPr>
        <w:rFonts w:cs="Arial"/>
        <w:sz w:val="20"/>
      </w:rPr>
      <w:fldChar w:fldCharType="end"/>
    </w:r>
    <w:r>
      <w:rPr>
        <w:rFonts w:cs="Arial"/>
        <w:sz w:val="20"/>
      </w:rPr>
      <w:tab/>
    </w:r>
    <w:r>
      <w:rPr>
        <w:rFonts w:cs="Arial"/>
        <w:sz w:val="20"/>
      </w:rPr>
      <w:tab/>
    </w:r>
    <w:r>
      <w:rPr>
        <w:rFonts w:cs="Arial"/>
        <w:sz w:val="20"/>
      </w:rPr>
      <w:tab/>
    </w:r>
    <w:r>
      <w:rPr>
        <w:rFonts w:cs="Arial"/>
        <w:sz w:val="20"/>
      </w:rPr>
      <w:tab/>
    </w:r>
    <w:r>
      <w:rPr>
        <w:rFonts w:cs="Arial"/>
        <w:sz w:val="20"/>
      </w:rPr>
      <w:tab/>
      <w:t>Appendix C</w:t>
    </w:r>
  </w:p>
  <w:p w:rsidR="003863F9" w:rsidRDefault="003863F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F9" w:rsidRDefault="003863F9" w:rsidP="00603EA9">
    <w:pPr>
      <w:pStyle w:val="Footer"/>
      <w:pBdr>
        <w:top w:val="single" w:sz="4" w:space="1" w:color="auto"/>
      </w:pBdr>
    </w:pPr>
    <w:r w:rsidRPr="00F92FF9">
      <w:rPr>
        <w:sz w:val="20"/>
      </w:rPr>
      <w:t>Economic Case</w:t>
    </w:r>
    <w:r>
      <w:tab/>
    </w:r>
    <w:r>
      <w:tab/>
    </w:r>
    <w:r w:rsidRPr="00F92FF9">
      <w:rPr>
        <w:sz w:val="20"/>
      </w:rPr>
      <w:t xml:space="preserve">Page </w:t>
    </w:r>
    <w:r w:rsidR="007F6BBC" w:rsidRPr="00F92FF9">
      <w:rPr>
        <w:sz w:val="20"/>
      </w:rPr>
      <w:fldChar w:fldCharType="begin"/>
    </w:r>
    <w:r w:rsidRPr="00F92FF9">
      <w:rPr>
        <w:sz w:val="20"/>
      </w:rPr>
      <w:instrText xml:space="preserve"> PAGE   \* MERGEFORMAT </w:instrText>
    </w:r>
    <w:r w:rsidR="007F6BBC" w:rsidRPr="00F92FF9">
      <w:rPr>
        <w:sz w:val="20"/>
      </w:rPr>
      <w:fldChar w:fldCharType="separate"/>
    </w:r>
    <w:r w:rsidR="00995AE8">
      <w:rPr>
        <w:noProof/>
        <w:sz w:val="20"/>
      </w:rPr>
      <w:t>25</w:t>
    </w:r>
    <w:r w:rsidR="007F6BBC" w:rsidRPr="00F92FF9">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F9" w:rsidRPr="003E490D" w:rsidRDefault="003863F9" w:rsidP="00603EA9">
    <w:pPr>
      <w:pStyle w:val="Header"/>
      <w:pBdr>
        <w:top w:val="single" w:sz="4" w:space="1" w:color="auto"/>
      </w:pBdr>
      <w:tabs>
        <w:tab w:val="clear" w:pos="8306"/>
        <w:tab w:val="right" w:pos="8931"/>
      </w:tabs>
      <w:rPr>
        <w:b/>
        <w:color w:val="FF0000"/>
        <w:sz w:val="28"/>
        <w:szCs w:val="28"/>
      </w:rPr>
    </w:pPr>
    <w:r>
      <w:rPr>
        <w:sz w:val="20"/>
      </w:rPr>
      <w:t>Commercial Case</w:t>
    </w:r>
    <w:r>
      <w:rPr>
        <w:sz w:val="20"/>
      </w:rPr>
      <w:tab/>
    </w:r>
    <w:r>
      <w:rPr>
        <w:rFonts w:cs="Arial"/>
        <w:sz w:val="20"/>
      </w:rPr>
      <w:t xml:space="preserve"> </w:t>
    </w:r>
    <w:r>
      <w:rPr>
        <w:rFonts w:cs="Arial"/>
        <w:sz w:val="20"/>
      </w:rPr>
      <w:tab/>
      <w:t xml:space="preserve">Page </w:t>
    </w:r>
    <w:r w:rsidR="007F6BBC" w:rsidRPr="00EB3A24">
      <w:rPr>
        <w:rFonts w:cs="Arial"/>
        <w:sz w:val="20"/>
      </w:rPr>
      <w:fldChar w:fldCharType="begin"/>
    </w:r>
    <w:r w:rsidRPr="00EB3A24">
      <w:rPr>
        <w:rFonts w:cs="Arial"/>
        <w:sz w:val="20"/>
      </w:rPr>
      <w:instrText xml:space="preserve"> PAGE   \* MERGEFORMAT </w:instrText>
    </w:r>
    <w:r w:rsidR="007F6BBC" w:rsidRPr="00EB3A24">
      <w:rPr>
        <w:rFonts w:cs="Arial"/>
        <w:sz w:val="20"/>
      </w:rPr>
      <w:fldChar w:fldCharType="separate"/>
    </w:r>
    <w:r w:rsidR="00995AE8">
      <w:rPr>
        <w:rFonts w:cs="Arial"/>
        <w:noProof/>
        <w:sz w:val="20"/>
      </w:rPr>
      <w:t>38</w:t>
    </w:r>
    <w:r w:rsidR="007F6BBC" w:rsidRPr="00EB3A24">
      <w:rPr>
        <w:rFonts w:cs="Arial"/>
        <w:sz w:val="20"/>
      </w:rPr>
      <w:fldChar w:fldCharType="end"/>
    </w:r>
  </w:p>
  <w:p w:rsidR="003863F9" w:rsidRDefault="003863F9">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F9" w:rsidRPr="003E490D" w:rsidRDefault="003863F9" w:rsidP="00603EA9">
    <w:pPr>
      <w:pStyle w:val="Header"/>
      <w:pBdr>
        <w:top w:val="single" w:sz="4" w:space="1" w:color="auto"/>
      </w:pBdr>
      <w:tabs>
        <w:tab w:val="clear" w:pos="8306"/>
        <w:tab w:val="right" w:pos="8931"/>
      </w:tabs>
      <w:rPr>
        <w:b/>
        <w:color w:val="FF0000"/>
        <w:sz w:val="28"/>
        <w:szCs w:val="28"/>
      </w:rPr>
    </w:pPr>
    <w:r>
      <w:rPr>
        <w:sz w:val="20"/>
      </w:rPr>
      <w:t>Financial Case</w:t>
    </w:r>
    <w:r>
      <w:rPr>
        <w:sz w:val="20"/>
      </w:rPr>
      <w:tab/>
    </w:r>
    <w:r>
      <w:rPr>
        <w:rFonts w:cs="Arial"/>
        <w:sz w:val="20"/>
      </w:rPr>
      <w:t xml:space="preserve"> </w:t>
    </w:r>
    <w:r>
      <w:rPr>
        <w:rFonts w:cs="Arial"/>
        <w:sz w:val="20"/>
      </w:rPr>
      <w:tab/>
      <w:t xml:space="preserve">Page </w:t>
    </w:r>
    <w:r w:rsidR="007F6BBC" w:rsidRPr="00EB3A24">
      <w:rPr>
        <w:rFonts w:cs="Arial"/>
        <w:sz w:val="20"/>
      </w:rPr>
      <w:fldChar w:fldCharType="begin"/>
    </w:r>
    <w:r w:rsidRPr="00EB3A24">
      <w:rPr>
        <w:rFonts w:cs="Arial"/>
        <w:sz w:val="20"/>
      </w:rPr>
      <w:instrText xml:space="preserve"> PAGE   \* MERGEFORMAT </w:instrText>
    </w:r>
    <w:r w:rsidR="007F6BBC" w:rsidRPr="00EB3A24">
      <w:rPr>
        <w:rFonts w:cs="Arial"/>
        <w:sz w:val="20"/>
      </w:rPr>
      <w:fldChar w:fldCharType="separate"/>
    </w:r>
    <w:r w:rsidR="00995AE8">
      <w:rPr>
        <w:rFonts w:cs="Arial"/>
        <w:noProof/>
        <w:sz w:val="20"/>
      </w:rPr>
      <w:t>48</w:t>
    </w:r>
    <w:r w:rsidR="007F6BBC" w:rsidRPr="00EB3A24">
      <w:rPr>
        <w:rFonts w:cs="Arial"/>
        <w:sz w:val="20"/>
      </w:rPr>
      <w:fldChar w:fldCharType="end"/>
    </w:r>
  </w:p>
  <w:p w:rsidR="003863F9" w:rsidRDefault="003863F9">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F9" w:rsidRPr="003E490D" w:rsidRDefault="003863F9" w:rsidP="00603EA9">
    <w:pPr>
      <w:pStyle w:val="Header"/>
      <w:pBdr>
        <w:top w:val="single" w:sz="4" w:space="1" w:color="auto"/>
      </w:pBdr>
      <w:tabs>
        <w:tab w:val="clear" w:pos="8306"/>
        <w:tab w:val="right" w:pos="8931"/>
      </w:tabs>
      <w:rPr>
        <w:b/>
        <w:color w:val="FF0000"/>
        <w:sz w:val="28"/>
        <w:szCs w:val="28"/>
      </w:rPr>
    </w:pPr>
    <w:r>
      <w:rPr>
        <w:sz w:val="20"/>
      </w:rPr>
      <w:t>Management Case</w:t>
    </w:r>
    <w:r>
      <w:rPr>
        <w:sz w:val="20"/>
      </w:rPr>
      <w:tab/>
    </w:r>
    <w:r>
      <w:rPr>
        <w:rFonts w:cs="Arial"/>
        <w:sz w:val="20"/>
      </w:rPr>
      <w:tab/>
      <w:t xml:space="preserve">Page </w:t>
    </w:r>
    <w:r w:rsidR="007F6BBC" w:rsidRPr="00EB3A24">
      <w:rPr>
        <w:rFonts w:cs="Arial"/>
        <w:sz w:val="20"/>
      </w:rPr>
      <w:fldChar w:fldCharType="begin"/>
    </w:r>
    <w:r w:rsidRPr="00EB3A24">
      <w:rPr>
        <w:rFonts w:cs="Arial"/>
        <w:sz w:val="20"/>
      </w:rPr>
      <w:instrText xml:space="preserve"> PAGE   \* MERGEFORMAT </w:instrText>
    </w:r>
    <w:r w:rsidR="007F6BBC" w:rsidRPr="00EB3A24">
      <w:rPr>
        <w:rFonts w:cs="Arial"/>
        <w:sz w:val="20"/>
      </w:rPr>
      <w:fldChar w:fldCharType="separate"/>
    </w:r>
    <w:r w:rsidR="00995AE8">
      <w:rPr>
        <w:rFonts w:cs="Arial"/>
        <w:noProof/>
        <w:sz w:val="20"/>
      </w:rPr>
      <w:t>61</w:t>
    </w:r>
    <w:r w:rsidR="007F6BBC" w:rsidRPr="00EB3A24">
      <w:rPr>
        <w:rFonts w:cs="Arial"/>
        <w:sz w:val="20"/>
      </w:rPr>
      <w:fldChar w:fldCharType="end"/>
    </w:r>
  </w:p>
  <w:p w:rsidR="003863F9" w:rsidRDefault="003863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63F9" w:rsidRDefault="003863F9" w:rsidP="008009D1">
      <w:pPr>
        <w:spacing w:line="240" w:lineRule="auto"/>
      </w:pPr>
      <w:r>
        <w:separator/>
      </w:r>
    </w:p>
  </w:footnote>
  <w:footnote w:type="continuationSeparator" w:id="0">
    <w:p w:rsidR="003863F9" w:rsidRDefault="003863F9" w:rsidP="008009D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3F9" w:rsidRDefault="007F6BBC">
    <w:pPr>
      <w:pStyle w:val="Header"/>
    </w:pPr>
    <w:r>
      <w:rPr>
        <w:noProof/>
        <w:lang w:eastAsia="en-GB"/>
      </w:rPr>
      <w:pict>
        <v:group id="_x0000_s40008" style="position:absolute;left:0;text-align:left;margin-left:-18.7pt;margin-top:-8pt;width:505.1pt;height:42.25pt;z-index:251714560" coordorigin="1063,548" coordsize="10102,845">
          <v:rect id="_x0000_s40009" style="position:absolute;left:1063;top:548;width:964;height:649;v-text-anchor:middle">
            <v:textbox style="mso-next-textbox:#_x0000_s40009">
              <w:txbxContent>
                <w:p w:rsidR="003863F9" w:rsidRPr="006A3417" w:rsidRDefault="003863F9" w:rsidP="00AF208A">
                  <w:pPr>
                    <w:spacing w:line="240" w:lineRule="auto"/>
                    <w:jc w:val="center"/>
                    <w:rPr>
                      <w:rFonts w:asciiTheme="minorHAnsi" w:hAnsiTheme="minorHAnsi" w:cs="Arial"/>
                      <w:sz w:val="12"/>
                      <w:szCs w:val="12"/>
                    </w:rPr>
                  </w:pPr>
                  <w:r w:rsidRPr="006A3417">
                    <w:rPr>
                      <w:rFonts w:asciiTheme="minorHAnsi" w:hAnsiTheme="minorHAnsi" w:cs="Arial"/>
                      <w:sz w:val="12"/>
                      <w:szCs w:val="12"/>
                    </w:rPr>
                    <w:t>Service Planning</w:t>
                  </w:r>
                </w:p>
              </w:txbxContent>
            </v:textbox>
          </v:rect>
          <v:rect id="_x0000_s40010" style="position:absolute;left:2240;top:548;width:964;height:649;v-text-anchor:middle">
            <v:textbox style="mso-next-textbox:#_x0000_s40010">
              <w:txbxContent>
                <w:p w:rsidR="003863F9" w:rsidRPr="003F3E6B" w:rsidRDefault="003863F9" w:rsidP="00AF208A">
                  <w:pPr>
                    <w:spacing w:line="240" w:lineRule="auto"/>
                    <w:jc w:val="center"/>
                    <w:rPr>
                      <w:rFonts w:asciiTheme="minorHAnsi" w:hAnsiTheme="minorHAnsi" w:cs="Arial"/>
                      <w:sz w:val="12"/>
                      <w:szCs w:val="12"/>
                    </w:rPr>
                  </w:pPr>
                  <w:r w:rsidRPr="003F3E6B">
                    <w:rPr>
                      <w:rFonts w:asciiTheme="minorHAnsi" w:hAnsiTheme="minorHAnsi" w:cs="Arial"/>
                      <w:sz w:val="12"/>
                      <w:szCs w:val="12"/>
                    </w:rPr>
                    <w:t>LDP</w:t>
                  </w:r>
                </w:p>
              </w:txbxContent>
            </v:textbox>
          </v:rect>
          <v:rect id="_x0000_s40011" style="position:absolute;left:3427;top:548;width:964;height:649;v-text-anchor:middle">
            <v:textbox style="mso-next-textbox:#_x0000_s40011">
              <w:txbxContent>
                <w:p w:rsidR="003863F9" w:rsidRPr="003F3E6B" w:rsidRDefault="003863F9" w:rsidP="00AF208A">
                  <w:pPr>
                    <w:spacing w:line="240" w:lineRule="auto"/>
                    <w:jc w:val="center"/>
                    <w:rPr>
                      <w:rFonts w:asciiTheme="minorHAnsi" w:hAnsiTheme="minorHAnsi" w:cs="Arial"/>
                      <w:sz w:val="12"/>
                      <w:szCs w:val="12"/>
                    </w:rPr>
                  </w:pPr>
                  <w:r w:rsidRPr="003F3E6B">
                    <w:rPr>
                      <w:rFonts w:asciiTheme="minorHAnsi" w:hAnsiTheme="minorHAnsi" w:cs="Arial"/>
                      <w:sz w:val="12"/>
                      <w:szCs w:val="12"/>
                    </w:rPr>
                    <w:t>PAMS</w:t>
                  </w:r>
                </w:p>
              </w:txbxContent>
            </v:textbox>
          </v:rect>
          <v:rect id="_x0000_s40012" style="position:absolute;left:4593;top:551;width:964;height:646;mso-position-vertical:absolute;v-text-anchor:middle" filled="f" fillcolor="#e36c0a [2409]">
            <v:textbox style="mso-next-textbox:#_x0000_s40012">
              <w:txbxContent>
                <w:p w:rsidR="003863F9" w:rsidRPr="003F3E6B" w:rsidRDefault="003863F9" w:rsidP="00AF208A">
                  <w:pPr>
                    <w:spacing w:line="240" w:lineRule="auto"/>
                    <w:jc w:val="center"/>
                    <w:rPr>
                      <w:rFonts w:asciiTheme="minorHAnsi" w:hAnsiTheme="minorHAnsi" w:cs="Arial"/>
                      <w:sz w:val="12"/>
                      <w:szCs w:val="12"/>
                    </w:rPr>
                  </w:pPr>
                  <w:r w:rsidRPr="003F3E6B">
                    <w:rPr>
                      <w:rFonts w:asciiTheme="minorHAnsi" w:hAnsiTheme="minorHAnsi" w:cs="Arial"/>
                      <w:sz w:val="12"/>
                      <w:szCs w:val="12"/>
                    </w:rPr>
                    <w:t>Strategic Assessment</w:t>
                  </w:r>
                </w:p>
              </w:txbxContent>
            </v:textbox>
          </v:rect>
          <v:rect id="_x0000_s40013" style="position:absolute;left:5773;top:551;width:964;height:646;mso-position-horizontal:absolute;mso-position-vertical:absolute;v-text-anchor:middle" filled="f" fillcolor="#c00000">
            <v:textbox style="mso-next-textbox:#_x0000_s40013">
              <w:txbxContent>
                <w:p w:rsidR="003863F9" w:rsidRPr="00AF208A" w:rsidRDefault="003863F9" w:rsidP="00AF208A">
                  <w:pPr>
                    <w:spacing w:line="240" w:lineRule="auto"/>
                    <w:jc w:val="center"/>
                    <w:rPr>
                      <w:rFonts w:asciiTheme="minorHAnsi" w:hAnsiTheme="minorHAnsi" w:cs="Arial"/>
                      <w:color w:val="000000" w:themeColor="text1"/>
                      <w:sz w:val="12"/>
                      <w:szCs w:val="12"/>
                    </w:rPr>
                  </w:pPr>
                  <w:r w:rsidRPr="00AF208A">
                    <w:rPr>
                      <w:rFonts w:asciiTheme="minorHAnsi" w:hAnsiTheme="minorHAnsi" w:cs="Arial"/>
                      <w:color w:val="000000" w:themeColor="text1"/>
                      <w:sz w:val="12"/>
                      <w:szCs w:val="12"/>
                    </w:rPr>
                    <w:t>Initial Agreement</w:t>
                  </w:r>
                </w:p>
              </w:txbxContent>
            </v:textbox>
          </v:rect>
          <v:rect id="_x0000_s40014" style="position:absolute;left:6940;top:551;width:964;height:646;mso-position-vertical:absolute;v-text-anchor:middle" fillcolor="#31849b [2408]">
            <v:textbox style="mso-next-textbox:#_x0000_s40014">
              <w:txbxContent>
                <w:p w:rsidR="003863F9" w:rsidRPr="00AF208A" w:rsidRDefault="003863F9" w:rsidP="00AF208A">
                  <w:pPr>
                    <w:spacing w:line="240" w:lineRule="auto"/>
                    <w:jc w:val="center"/>
                    <w:rPr>
                      <w:rFonts w:asciiTheme="minorHAnsi" w:hAnsiTheme="minorHAnsi" w:cs="Arial"/>
                      <w:b/>
                      <w:color w:val="FFFFFF" w:themeColor="background1"/>
                      <w:sz w:val="12"/>
                      <w:szCs w:val="12"/>
                    </w:rPr>
                  </w:pPr>
                  <w:r w:rsidRPr="00AF208A">
                    <w:rPr>
                      <w:rFonts w:asciiTheme="minorHAnsi" w:hAnsiTheme="minorHAnsi" w:cs="Arial"/>
                      <w:b/>
                      <w:color w:val="FFFFFF" w:themeColor="background1"/>
                      <w:sz w:val="12"/>
                      <w:szCs w:val="12"/>
                    </w:rPr>
                    <w:t>OBC</w:t>
                  </w:r>
                </w:p>
              </w:txbxContent>
            </v:textbox>
          </v:rect>
          <v:shapetype id="_x0000_t32" coordsize="21600,21600" o:spt="32" o:oned="t" path="m,l21600,21600e" filled="f">
            <v:path arrowok="t" fillok="f" o:connecttype="none"/>
            <o:lock v:ext="edit" shapetype="t"/>
          </v:shapetype>
          <v:shape id="_x0000_s40015" type="#_x0000_t32" style="position:absolute;left:2020;top:908;width:220;height:0" o:connectortype="straight"/>
          <v:shape id="_x0000_s40016" type="#_x0000_t32" style="position:absolute;left:3207;top:908;width:220;height:0" o:connectortype="straight"/>
          <v:shape id="_x0000_s40017" type="#_x0000_t32" style="position:absolute;left:4391;top:906;width:202;height:3" o:connectortype="straight"/>
          <v:shape id="_x0000_s40018" type="#_x0000_t32" style="position:absolute;left:5553;top:908;width:220;height:0" o:connectortype="straight"/>
          <v:shape id="_x0000_s40019" type="#_x0000_t32" style="position:absolute;left:6733;top:908;width:207;height:1" o:connectortype="straight"/>
          <v:shape id="_x0000_s40020" type="#_x0000_t32" style="position:absolute;left:7903;top:908;width:220;height:0" o:connectortype="straight"/>
          <v:rect id="_x0000_s40021" style="position:absolute;left:10485;top:551;width:680;height:646;mso-position-vertical:absolute;v-text-anchor:middle" filled="f" fillcolor="#1f497d [3215]">
            <v:textbox style="mso-next-textbox:#_x0000_s40021">
              <w:txbxContent>
                <w:p w:rsidR="003863F9" w:rsidRPr="003F3E6B" w:rsidRDefault="003863F9" w:rsidP="00AF208A">
                  <w:pPr>
                    <w:spacing w:line="240" w:lineRule="auto"/>
                    <w:jc w:val="center"/>
                    <w:rPr>
                      <w:rFonts w:asciiTheme="minorHAnsi" w:hAnsiTheme="minorHAnsi" w:cs="Arial"/>
                      <w:color w:val="000000" w:themeColor="text1"/>
                      <w:sz w:val="12"/>
                      <w:szCs w:val="12"/>
                    </w:rPr>
                  </w:pPr>
                  <w:r w:rsidRPr="003F3E6B">
                    <w:rPr>
                      <w:rFonts w:asciiTheme="minorHAnsi" w:hAnsiTheme="minorHAnsi" w:cs="Arial"/>
                      <w:color w:val="000000" w:themeColor="text1"/>
                      <w:sz w:val="12"/>
                      <w:szCs w:val="12"/>
                    </w:rPr>
                    <w:t>PME</w:t>
                  </w:r>
                </w:p>
              </w:txbxContent>
            </v:textbox>
          </v:rect>
          <v:rect id="_x0000_s40022" style="position:absolute;left:8123;top:551;width:964;height:646;mso-position-vertical:absolute;v-text-anchor:middle" filled="f" fillcolor="#5f497a [2407]">
            <v:textbox style="mso-next-textbox:#_x0000_s40022" inset=",0,,0">
              <w:txbxContent>
                <w:p w:rsidR="003863F9" w:rsidRPr="003F3E6B" w:rsidRDefault="003863F9" w:rsidP="00AF208A">
                  <w:pPr>
                    <w:spacing w:line="240" w:lineRule="auto"/>
                    <w:jc w:val="center"/>
                    <w:rPr>
                      <w:rFonts w:asciiTheme="minorHAnsi" w:hAnsiTheme="minorHAnsi" w:cs="Arial"/>
                      <w:color w:val="000000" w:themeColor="text1"/>
                      <w:sz w:val="12"/>
                      <w:szCs w:val="12"/>
                    </w:rPr>
                  </w:pPr>
                  <w:r w:rsidRPr="003F3E6B">
                    <w:rPr>
                      <w:rFonts w:asciiTheme="minorHAnsi" w:hAnsiTheme="minorHAnsi" w:cs="Arial"/>
                      <w:color w:val="000000" w:themeColor="text1"/>
                      <w:sz w:val="12"/>
                      <w:szCs w:val="12"/>
                    </w:rPr>
                    <w:t>FBC</w:t>
                  </w:r>
                </w:p>
              </w:txbxContent>
            </v:textbox>
          </v:rect>
          <v:shape id="_x0000_s40023" type="#_x0000_t32" style="position:absolute;left:1706;top:1382;width:8869;height:11;flip:y" o:connectortype="straight"/>
          <v:shape id="_x0000_s40024" type="#_x0000_t32" style="position:absolute;left:9083;top:908;width:220;height:0" o:connectortype="straight"/>
          <v:rect id="_x0000_s40025" style="position:absolute;left:9303;top:551;width:964;height:646;mso-position-vertical:absolute;v-text-anchor:middle" filled="f" fillcolor="white [3212]">
            <v:textbox style="mso-next-textbox:#_x0000_s40025" inset="0,0,0,0">
              <w:txbxContent>
                <w:p w:rsidR="003863F9" w:rsidRPr="003F3E6B" w:rsidRDefault="003863F9" w:rsidP="00AF208A">
                  <w:pPr>
                    <w:spacing w:line="240" w:lineRule="auto"/>
                    <w:jc w:val="center"/>
                    <w:rPr>
                      <w:rFonts w:asciiTheme="minorHAnsi" w:hAnsiTheme="minorHAnsi" w:cs="Arial"/>
                      <w:sz w:val="12"/>
                      <w:szCs w:val="12"/>
                    </w:rPr>
                  </w:pPr>
                  <w:r w:rsidRPr="003F3E6B">
                    <w:rPr>
                      <w:rFonts w:asciiTheme="minorHAnsi" w:hAnsiTheme="minorHAnsi" w:cs="Arial"/>
                      <w:sz w:val="12"/>
                      <w:szCs w:val="12"/>
                    </w:rPr>
                    <w:t>Construction &amp; Commissioning</w:t>
                  </w:r>
                </w:p>
              </w:txbxContent>
            </v:textbox>
          </v:rect>
          <v:shape id="_x0000_s40026" type="#_x0000_t32" style="position:absolute;left:10263;top:908;width:220;height:0" o:connectortype="straigh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40027" type="#_x0000_t19" style="position:absolute;left:1502;top:1212;width:170;height:170;rotation:180">
            <v:stroke endarrow="block" endarrowwidth="wide"/>
          </v:shape>
          <v:shape id="_x0000_s40028" type="#_x0000_t19" style="position:absolute;left:10612;top:1209;width:170;height:170;rotation:90">
            <v:stroke endarrow="block" endarrowwidth="wid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9C5FF2"/>
    <w:lvl w:ilvl="0">
      <w:start w:val="1"/>
      <w:numFmt w:val="decimal"/>
      <w:lvlText w:val="%1."/>
      <w:lvlJc w:val="left"/>
      <w:pPr>
        <w:tabs>
          <w:tab w:val="num" w:pos="1492"/>
        </w:tabs>
        <w:ind w:left="1492" w:hanging="360"/>
      </w:pPr>
    </w:lvl>
  </w:abstractNum>
  <w:abstractNum w:abstractNumId="1">
    <w:nsid w:val="FFFFFF7D"/>
    <w:multiLevelType w:val="singleLevel"/>
    <w:tmpl w:val="6CC68270"/>
    <w:lvl w:ilvl="0">
      <w:start w:val="1"/>
      <w:numFmt w:val="decimal"/>
      <w:lvlText w:val="%1."/>
      <w:lvlJc w:val="left"/>
      <w:pPr>
        <w:tabs>
          <w:tab w:val="num" w:pos="1209"/>
        </w:tabs>
        <w:ind w:left="1209" w:hanging="360"/>
      </w:pPr>
    </w:lvl>
  </w:abstractNum>
  <w:abstractNum w:abstractNumId="2">
    <w:nsid w:val="FFFFFF7E"/>
    <w:multiLevelType w:val="singleLevel"/>
    <w:tmpl w:val="AE521E38"/>
    <w:lvl w:ilvl="0">
      <w:start w:val="1"/>
      <w:numFmt w:val="decimal"/>
      <w:lvlText w:val="%1."/>
      <w:lvlJc w:val="left"/>
      <w:pPr>
        <w:tabs>
          <w:tab w:val="num" w:pos="926"/>
        </w:tabs>
        <w:ind w:left="926" w:hanging="360"/>
      </w:pPr>
    </w:lvl>
  </w:abstractNum>
  <w:abstractNum w:abstractNumId="3">
    <w:nsid w:val="FFFFFF7F"/>
    <w:multiLevelType w:val="singleLevel"/>
    <w:tmpl w:val="D576C4A0"/>
    <w:lvl w:ilvl="0">
      <w:start w:val="1"/>
      <w:numFmt w:val="decimal"/>
      <w:lvlText w:val="%1."/>
      <w:lvlJc w:val="left"/>
      <w:pPr>
        <w:tabs>
          <w:tab w:val="num" w:pos="643"/>
        </w:tabs>
        <w:ind w:left="643" w:hanging="360"/>
      </w:pPr>
    </w:lvl>
  </w:abstractNum>
  <w:abstractNum w:abstractNumId="4">
    <w:nsid w:val="FFFFFF80"/>
    <w:multiLevelType w:val="singleLevel"/>
    <w:tmpl w:val="21343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B22812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604DF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4BA4C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B1CB852"/>
    <w:lvl w:ilvl="0">
      <w:start w:val="1"/>
      <w:numFmt w:val="decimal"/>
      <w:lvlText w:val="%1."/>
      <w:lvlJc w:val="left"/>
      <w:pPr>
        <w:tabs>
          <w:tab w:val="num" w:pos="360"/>
        </w:tabs>
        <w:ind w:left="360" w:hanging="360"/>
      </w:pPr>
    </w:lvl>
  </w:abstractNum>
  <w:abstractNum w:abstractNumId="9">
    <w:nsid w:val="FFFFFF89"/>
    <w:multiLevelType w:val="singleLevel"/>
    <w:tmpl w:val="5F96711A"/>
    <w:lvl w:ilvl="0">
      <w:start w:val="1"/>
      <w:numFmt w:val="bullet"/>
      <w:lvlText w:val=""/>
      <w:lvlJc w:val="left"/>
      <w:pPr>
        <w:tabs>
          <w:tab w:val="num" w:pos="360"/>
        </w:tabs>
        <w:ind w:left="360" w:hanging="360"/>
      </w:pPr>
      <w:rPr>
        <w:rFonts w:ascii="Symbol" w:hAnsi="Symbol" w:hint="default"/>
      </w:rPr>
    </w:lvl>
  </w:abstractNum>
  <w:abstractNum w:abstractNumId="10">
    <w:nsid w:val="00FB4B6A"/>
    <w:multiLevelType w:val="hybridMultilevel"/>
    <w:tmpl w:val="C94842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2C1595D"/>
    <w:multiLevelType w:val="hybridMultilevel"/>
    <w:tmpl w:val="199A6B56"/>
    <w:lvl w:ilvl="0" w:tplc="8292852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3255B54"/>
    <w:multiLevelType w:val="multilevel"/>
    <w:tmpl w:val="BED461EE"/>
    <w:lvl w:ilvl="0">
      <w:start w:val="1"/>
      <w:numFmt w:val="bullet"/>
      <w:pStyle w:val="Standard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5C74D7C"/>
    <w:multiLevelType w:val="hybridMultilevel"/>
    <w:tmpl w:val="FDC07A54"/>
    <w:lvl w:ilvl="0" w:tplc="71483FE0">
      <w:start w:val="1"/>
      <w:numFmt w:val="bullet"/>
      <w:pStyle w:val="Table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1328166C"/>
    <w:multiLevelType w:val="hybridMultilevel"/>
    <w:tmpl w:val="E74AB4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61C688D"/>
    <w:multiLevelType w:val="hybridMultilevel"/>
    <w:tmpl w:val="7B70DE2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6">
    <w:nsid w:val="1D6D1AE9"/>
    <w:multiLevelType w:val="hybridMultilevel"/>
    <w:tmpl w:val="04C2EEF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nsid w:val="218E7FCC"/>
    <w:multiLevelType w:val="hybridMultilevel"/>
    <w:tmpl w:val="09A8B2BE"/>
    <w:lvl w:ilvl="0" w:tplc="D44C1F62">
      <w:start w:val="1"/>
      <w:numFmt w:val="bullet"/>
      <w:pStyle w:val="Bullettab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5D348F8"/>
    <w:multiLevelType w:val="hybridMultilevel"/>
    <w:tmpl w:val="1C287C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8626769"/>
    <w:multiLevelType w:val="hybridMultilevel"/>
    <w:tmpl w:val="DA9A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D2F1047"/>
    <w:multiLevelType w:val="hybridMultilevel"/>
    <w:tmpl w:val="5478D5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26468DA"/>
    <w:multiLevelType w:val="hybridMultilevel"/>
    <w:tmpl w:val="76064A2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34DC1F8D"/>
    <w:multiLevelType w:val="hybridMultilevel"/>
    <w:tmpl w:val="1EE80706"/>
    <w:lvl w:ilvl="0" w:tplc="C1266F02">
      <w:start w:val="1"/>
      <w:numFmt w:val="bullet"/>
      <w:pStyle w:val="ListParagraph"/>
      <w:lvlText w:val=""/>
      <w:lvlJc w:val="left"/>
      <w:pPr>
        <w:ind w:left="873" w:hanging="360"/>
      </w:pPr>
      <w:rPr>
        <w:rFonts w:ascii="Symbol" w:hAnsi="Symbol" w:hint="default"/>
      </w:rPr>
    </w:lvl>
    <w:lvl w:ilvl="1" w:tplc="14090003" w:tentative="1">
      <w:start w:val="1"/>
      <w:numFmt w:val="bullet"/>
      <w:lvlText w:val="o"/>
      <w:lvlJc w:val="left"/>
      <w:pPr>
        <w:ind w:left="1593" w:hanging="360"/>
      </w:pPr>
      <w:rPr>
        <w:rFonts w:ascii="Courier New" w:hAnsi="Courier New" w:cs="Courier New" w:hint="default"/>
      </w:rPr>
    </w:lvl>
    <w:lvl w:ilvl="2" w:tplc="14090005" w:tentative="1">
      <w:start w:val="1"/>
      <w:numFmt w:val="bullet"/>
      <w:lvlText w:val=""/>
      <w:lvlJc w:val="left"/>
      <w:pPr>
        <w:ind w:left="2313" w:hanging="360"/>
      </w:pPr>
      <w:rPr>
        <w:rFonts w:ascii="Wingdings" w:hAnsi="Wingdings" w:hint="default"/>
      </w:rPr>
    </w:lvl>
    <w:lvl w:ilvl="3" w:tplc="14090001" w:tentative="1">
      <w:start w:val="1"/>
      <w:numFmt w:val="bullet"/>
      <w:lvlText w:val=""/>
      <w:lvlJc w:val="left"/>
      <w:pPr>
        <w:ind w:left="3033" w:hanging="360"/>
      </w:pPr>
      <w:rPr>
        <w:rFonts w:ascii="Symbol" w:hAnsi="Symbol" w:hint="default"/>
      </w:rPr>
    </w:lvl>
    <w:lvl w:ilvl="4" w:tplc="14090003" w:tentative="1">
      <w:start w:val="1"/>
      <w:numFmt w:val="bullet"/>
      <w:lvlText w:val="o"/>
      <w:lvlJc w:val="left"/>
      <w:pPr>
        <w:ind w:left="3753" w:hanging="360"/>
      </w:pPr>
      <w:rPr>
        <w:rFonts w:ascii="Courier New" w:hAnsi="Courier New" w:cs="Courier New" w:hint="default"/>
      </w:rPr>
    </w:lvl>
    <w:lvl w:ilvl="5" w:tplc="14090005" w:tentative="1">
      <w:start w:val="1"/>
      <w:numFmt w:val="bullet"/>
      <w:lvlText w:val=""/>
      <w:lvlJc w:val="left"/>
      <w:pPr>
        <w:ind w:left="4473" w:hanging="360"/>
      </w:pPr>
      <w:rPr>
        <w:rFonts w:ascii="Wingdings" w:hAnsi="Wingdings" w:hint="default"/>
      </w:rPr>
    </w:lvl>
    <w:lvl w:ilvl="6" w:tplc="14090001" w:tentative="1">
      <w:start w:val="1"/>
      <w:numFmt w:val="bullet"/>
      <w:lvlText w:val=""/>
      <w:lvlJc w:val="left"/>
      <w:pPr>
        <w:ind w:left="5193" w:hanging="360"/>
      </w:pPr>
      <w:rPr>
        <w:rFonts w:ascii="Symbol" w:hAnsi="Symbol" w:hint="default"/>
      </w:rPr>
    </w:lvl>
    <w:lvl w:ilvl="7" w:tplc="14090003" w:tentative="1">
      <w:start w:val="1"/>
      <w:numFmt w:val="bullet"/>
      <w:lvlText w:val="o"/>
      <w:lvlJc w:val="left"/>
      <w:pPr>
        <w:ind w:left="5913" w:hanging="360"/>
      </w:pPr>
      <w:rPr>
        <w:rFonts w:ascii="Courier New" w:hAnsi="Courier New" w:cs="Courier New" w:hint="default"/>
      </w:rPr>
    </w:lvl>
    <w:lvl w:ilvl="8" w:tplc="14090005" w:tentative="1">
      <w:start w:val="1"/>
      <w:numFmt w:val="bullet"/>
      <w:lvlText w:val=""/>
      <w:lvlJc w:val="left"/>
      <w:pPr>
        <w:ind w:left="6633" w:hanging="360"/>
      </w:pPr>
      <w:rPr>
        <w:rFonts w:ascii="Wingdings" w:hAnsi="Wingdings" w:hint="default"/>
      </w:rPr>
    </w:lvl>
  </w:abstractNum>
  <w:abstractNum w:abstractNumId="23">
    <w:nsid w:val="35720507"/>
    <w:multiLevelType w:val="multilevel"/>
    <w:tmpl w:val="8CEA921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35803606"/>
    <w:multiLevelType w:val="hybridMultilevel"/>
    <w:tmpl w:val="83DAD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8303CF1"/>
    <w:multiLevelType w:val="hybridMultilevel"/>
    <w:tmpl w:val="41DE4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9F108D2"/>
    <w:multiLevelType w:val="hybridMultilevel"/>
    <w:tmpl w:val="80D60798"/>
    <w:lvl w:ilvl="0" w:tplc="8F0C35E0">
      <w:start w:val="1"/>
      <w:numFmt w:val="decimal"/>
      <w:pStyle w:val="StandardNumberBullet"/>
      <w:lvlText w:val="%1."/>
      <w:lvlJc w:val="left"/>
      <w:pPr>
        <w:ind w:left="1780" w:hanging="360"/>
      </w:pPr>
    </w:lvl>
    <w:lvl w:ilvl="1" w:tplc="DE76E804" w:tentative="1">
      <w:start w:val="1"/>
      <w:numFmt w:val="lowerLetter"/>
      <w:lvlText w:val="%2."/>
      <w:lvlJc w:val="left"/>
      <w:pPr>
        <w:ind w:left="2500" w:hanging="360"/>
      </w:pPr>
    </w:lvl>
    <w:lvl w:ilvl="2" w:tplc="87C6554C">
      <w:start w:val="1"/>
      <w:numFmt w:val="lowerRoman"/>
      <w:lvlText w:val="%3."/>
      <w:lvlJc w:val="right"/>
      <w:pPr>
        <w:ind w:left="3220" w:hanging="180"/>
      </w:pPr>
    </w:lvl>
    <w:lvl w:ilvl="3" w:tplc="CCDCA0D0" w:tentative="1">
      <w:start w:val="1"/>
      <w:numFmt w:val="decimal"/>
      <w:lvlText w:val="%4."/>
      <w:lvlJc w:val="left"/>
      <w:pPr>
        <w:ind w:left="3940" w:hanging="360"/>
      </w:pPr>
    </w:lvl>
    <w:lvl w:ilvl="4" w:tplc="CA2208BA" w:tentative="1">
      <w:start w:val="1"/>
      <w:numFmt w:val="lowerLetter"/>
      <w:lvlText w:val="%5."/>
      <w:lvlJc w:val="left"/>
      <w:pPr>
        <w:ind w:left="4660" w:hanging="360"/>
      </w:pPr>
    </w:lvl>
    <w:lvl w:ilvl="5" w:tplc="0AAE0242" w:tentative="1">
      <w:start w:val="1"/>
      <w:numFmt w:val="lowerRoman"/>
      <w:lvlText w:val="%6."/>
      <w:lvlJc w:val="right"/>
      <w:pPr>
        <w:ind w:left="5380" w:hanging="180"/>
      </w:pPr>
    </w:lvl>
    <w:lvl w:ilvl="6" w:tplc="1C2639C0" w:tentative="1">
      <w:start w:val="1"/>
      <w:numFmt w:val="decimal"/>
      <w:lvlText w:val="%7."/>
      <w:lvlJc w:val="left"/>
      <w:pPr>
        <w:ind w:left="6100" w:hanging="360"/>
      </w:pPr>
    </w:lvl>
    <w:lvl w:ilvl="7" w:tplc="F080E1AA" w:tentative="1">
      <w:start w:val="1"/>
      <w:numFmt w:val="lowerLetter"/>
      <w:lvlText w:val="%8."/>
      <w:lvlJc w:val="left"/>
      <w:pPr>
        <w:ind w:left="6820" w:hanging="360"/>
      </w:pPr>
    </w:lvl>
    <w:lvl w:ilvl="8" w:tplc="EA1E4802" w:tentative="1">
      <w:start w:val="1"/>
      <w:numFmt w:val="lowerRoman"/>
      <w:lvlText w:val="%9."/>
      <w:lvlJc w:val="right"/>
      <w:pPr>
        <w:ind w:left="7540" w:hanging="180"/>
      </w:pPr>
    </w:lvl>
  </w:abstractNum>
  <w:abstractNum w:abstractNumId="27">
    <w:nsid w:val="3F666107"/>
    <w:multiLevelType w:val="hybridMultilevel"/>
    <w:tmpl w:val="2AAA15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nsid w:val="51E33EAE"/>
    <w:multiLevelType w:val="hybridMultilevel"/>
    <w:tmpl w:val="5C468022"/>
    <w:lvl w:ilvl="0" w:tplc="82928520">
      <w:start w:val="1"/>
      <w:numFmt w:val="decimal"/>
      <w:pStyle w:val="Standardnumberbullet0"/>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32215B6"/>
    <w:multiLevelType w:val="hybridMultilevel"/>
    <w:tmpl w:val="3D1821F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537B6140"/>
    <w:multiLevelType w:val="hybridMultilevel"/>
    <w:tmpl w:val="255EE6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C05659D"/>
    <w:multiLevelType w:val="hybridMultilevel"/>
    <w:tmpl w:val="3FDAF89E"/>
    <w:lvl w:ilvl="0" w:tplc="52227276">
      <w:start w:val="1"/>
      <w:numFmt w:val="bullet"/>
      <w:pStyle w:val="Standard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DBB2827"/>
    <w:multiLevelType w:val="hybridMultilevel"/>
    <w:tmpl w:val="39A029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0810699"/>
    <w:multiLevelType w:val="hybridMultilevel"/>
    <w:tmpl w:val="7AA6D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43A23D8"/>
    <w:multiLevelType w:val="hybridMultilevel"/>
    <w:tmpl w:val="9CEE0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E4311B6"/>
    <w:multiLevelType w:val="hybridMultilevel"/>
    <w:tmpl w:val="4F5CDEC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7EE60AF9"/>
    <w:multiLevelType w:val="hybridMultilevel"/>
    <w:tmpl w:val="A5A64A6E"/>
    <w:lvl w:ilvl="0" w:tplc="476448A4">
      <w:start w:val="1"/>
      <w:numFmt w:val="bullet"/>
      <w:pStyle w:val="StandardBullet0"/>
      <w:lvlText w:val=""/>
      <w:lvlJc w:val="left"/>
      <w:pPr>
        <w:tabs>
          <w:tab w:val="num" w:pos="720"/>
        </w:tabs>
        <w:ind w:left="720" w:hanging="360"/>
      </w:pPr>
      <w:rPr>
        <w:rFonts w:ascii="Symbol" w:hAnsi="Symbol" w:hint="default"/>
      </w:rPr>
    </w:lvl>
    <w:lvl w:ilvl="1" w:tplc="A232F8E6">
      <w:start w:val="1"/>
      <w:numFmt w:val="bullet"/>
      <w:pStyle w:val="Standardsub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2"/>
  </w:num>
  <w:num w:numId="3">
    <w:abstractNumId w:val="28"/>
    <w:lvlOverride w:ilvl="0">
      <w:startOverride w:val="1"/>
    </w:lvlOverride>
  </w:num>
  <w:num w:numId="4">
    <w:abstractNumId w:val="26"/>
  </w:num>
  <w:num w:numId="5">
    <w:abstractNumId w:val="28"/>
  </w:num>
  <w:num w:numId="6">
    <w:abstractNumId w:val="23"/>
  </w:num>
  <w:num w:numId="7">
    <w:abstractNumId w:val="19"/>
  </w:num>
  <w:num w:numId="8">
    <w:abstractNumId w:val="24"/>
  </w:num>
  <w:num w:numId="9">
    <w:abstractNumId w:val="31"/>
  </w:num>
  <w:num w:numId="10">
    <w:abstractNumId w:val="17"/>
  </w:num>
  <w:num w:numId="11">
    <w:abstractNumId w:val="25"/>
  </w:num>
  <w:num w:numId="12">
    <w:abstractNumId w:val="33"/>
  </w:num>
  <w:num w:numId="13">
    <w:abstractNumId w:val="21"/>
  </w:num>
  <w:num w:numId="14">
    <w:abstractNumId w:val="35"/>
  </w:num>
  <w:num w:numId="15">
    <w:abstractNumId w:val="32"/>
  </w:num>
  <w:num w:numId="16">
    <w:abstractNumId w:val="10"/>
  </w:num>
  <w:num w:numId="17">
    <w:abstractNumId w:val="14"/>
  </w:num>
  <w:num w:numId="18">
    <w:abstractNumId w:val="20"/>
  </w:num>
  <w:num w:numId="19">
    <w:abstractNumId w:val="30"/>
  </w:num>
  <w:num w:numId="20">
    <w:abstractNumId w:val="27"/>
  </w:num>
  <w:num w:numId="21">
    <w:abstractNumId w:val="16"/>
  </w:num>
  <w:num w:numId="22">
    <w:abstractNumId w:val="13"/>
  </w:num>
  <w:num w:numId="23">
    <w:abstractNumId w:val="12"/>
  </w:num>
  <w:num w:numId="24">
    <w:abstractNumId w:val="9"/>
  </w:num>
  <w:num w:numId="25">
    <w:abstractNumId w:val="7"/>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4"/>
  </w:num>
  <w:num w:numId="35">
    <w:abstractNumId w:val="18"/>
  </w:num>
  <w:num w:numId="36">
    <w:abstractNumId w:val="11"/>
  </w:num>
  <w:num w:numId="37">
    <w:abstractNumId w:val="28"/>
    <w:lvlOverride w:ilvl="0">
      <w:startOverride w:val="1"/>
    </w:lvlOverride>
  </w:num>
  <w:num w:numId="38">
    <w:abstractNumId w:val="15"/>
  </w:num>
  <w:num w:numId="39">
    <w:abstractNumId w:val="28"/>
    <w:lvlOverride w:ilvl="0">
      <w:startOverride w:val="1"/>
    </w:lvlOverride>
  </w:num>
  <w:num w:numId="40">
    <w:abstractNumId w:val="36"/>
  </w:num>
  <w:num w:numId="41">
    <w:abstractNumId w:val="2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4"/>
  <w:defaultTabStop w:val="720"/>
  <w:drawingGridHorizontalSpacing w:val="120"/>
  <w:displayHorizontalDrawingGridEvery w:val="2"/>
  <w:characterSpacingControl w:val="doNotCompress"/>
  <w:hdrShapeDefaults>
    <o:shapedefaults v:ext="edit" spidmax="40030"/>
    <o:shapelayout v:ext="edit">
      <o:idmap v:ext="edit" data="39"/>
      <o:rules v:ext="edit">
        <o:r id="V:Rule10" type="arc" idref="#_x0000_s40027"/>
        <o:r id="V:Rule11" type="arc" idref="#_x0000_s40028"/>
        <o:r id="V:Rule12" type="connector" idref="#_x0000_s40023"/>
        <o:r id="V:Rule13" type="connector" idref="#_x0000_s40017"/>
        <o:r id="V:Rule14" type="connector" idref="#_x0000_s40016"/>
        <o:r id="V:Rule15" type="connector" idref="#_x0000_s40018"/>
        <o:r id="V:Rule16" type="connector" idref="#_x0000_s40026"/>
        <o:r id="V:Rule17" type="connector" idref="#_x0000_s40015"/>
        <o:r id="V:Rule18" type="connector" idref="#_x0000_s40019"/>
        <o:r id="V:Rule19" type="connector" idref="#_x0000_s40020"/>
        <o:r id="V:Rule20" type="connector" idref="#_x0000_s40024"/>
      </o:rules>
      <o:regrouptable v:ext="edit">
        <o:entry new="1" old="0"/>
      </o:regrouptable>
    </o:shapelayout>
  </w:hdrShapeDefaults>
  <w:footnotePr>
    <w:footnote w:id="-1"/>
    <w:footnote w:id="0"/>
  </w:footnotePr>
  <w:endnotePr>
    <w:endnote w:id="-1"/>
    <w:endnote w:id="0"/>
  </w:endnotePr>
  <w:compat/>
  <w:rsids>
    <w:rsidRoot w:val="008009D1"/>
    <w:rsid w:val="000064FB"/>
    <w:rsid w:val="00012E52"/>
    <w:rsid w:val="00026705"/>
    <w:rsid w:val="00040746"/>
    <w:rsid w:val="00046704"/>
    <w:rsid w:val="00051E5D"/>
    <w:rsid w:val="00057B74"/>
    <w:rsid w:val="00064581"/>
    <w:rsid w:val="0006619E"/>
    <w:rsid w:val="00070104"/>
    <w:rsid w:val="000777B8"/>
    <w:rsid w:val="00087498"/>
    <w:rsid w:val="000903A9"/>
    <w:rsid w:val="000917C9"/>
    <w:rsid w:val="00095976"/>
    <w:rsid w:val="000A0B7F"/>
    <w:rsid w:val="000A1BB7"/>
    <w:rsid w:val="000A2F9E"/>
    <w:rsid w:val="000A3599"/>
    <w:rsid w:val="000B0EEE"/>
    <w:rsid w:val="000B64FA"/>
    <w:rsid w:val="000C3EFF"/>
    <w:rsid w:val="000D6F06"/>
    <w:rsid w:val="000E12DC"/>
    <w:rsid w:val="000E66C0"/>
    <w:rsid w:val="000F5BA6"/>
    <w:rsid w:val="00126356"/>
    <w:rsid w:val="00126656"/>
    <w:rsid w:val="00130B0D"/>
    <w:rsid w:val="00135561"/>
    <w:rsid w:val="00140265"/>
    <w:rsid w:val="00146B39"/>
    <w:rsid w:val="0015629A"/>
    <w:rsid w:val="00157E80"/>
    <w:rsid w:val="00177130"/>
    <w:rsid w:val="00177C00"/>
    <w:rsid w:val="00184D90"/>
    <w:rsid w:val="00191A1A"/>
    <w:rsid w:val="00193262"/>
    <w:rsid w:val="00194361"/>
    <w:rsid w:val="00195EE6"/>
    <w:rsid w:val="001A04EC"/>
    <w:rsid w:val="001B021C"/>
    <w:rsid w:val="001B7825"/>
    <w:rsid w:val="001C457B"/>
    <w:rsid w:val="001C61A8"/>
    <w:rsid w:val="001D7CF6"/>
    <w:rsid w:val="001E2A08"/>
    <w:rsid w:val="001F1D59"/>
    <w:rsid w:val="001F5EED"/>
    <w:rsid w:val="002061F5"/>
    <w:rsid w:val="00207546"/>
    <w:rsid w:val="00216955"/>
    <w:rsid w:val="00242247"/>
    <w:rsid w:val="00243F64"/>
    <w:rsid w:val="00244C48"/>
    <w:rsid w:val="00244DDA"/>
    <w:rsid w:val="00255841"/>
    <w:rsid w:val="00263301"/>
    <w:rsid w:val="002733B7"/>
    <w:rsid w:val="002751EB"/>
    <w:rsid w:val="002772B2"/>
    <w:rsid w:val="002844D8"/>
    <w:rsid w:val="002A58FE"/>
    <w:rsid w:val="002A6D26"/>
    <w:rsid w:val="002B1DF6"/>
    <w:rsid w:val="002B2078"/>
    <w:rsid w:val="002B76C4"/>
    <w:rsid w:val="002C52A9"/>
    <w:rsid w:val="002C54C3"/>
    <w:rsid w:val="002D22F1"/>
    <w:rsid w:val="002E0D26"/>
    <w:rsid w:val="002E2787"/>
    <w:rsid w:val="002E70A3"/>
    <w:rsid w:val="0030094D"/>
    <w:rsid w:val="00303061"/>
    <w:rsid w:val="003079AE"/>
    <w:rsid w:val="0031252F"/>
    <w:rsid w:val="0031700E"/>
    <w:rsid w:val="003554B5"/>
    <w:rsid w:val="00356DE6"/>
    <w:rsid w:val="0036223E"/>
    <w:rsid w:val="003863F9"/>
    <w:rsid w:val="00390205"/>
    <w:rsid w:val="00390571"/>
    <w:rsid w:val="00394862"/>
    <w:rsid w:val="00397250"/>
    <w:rsid w:val="003A1FB6"/>
    <w:rsid w:val="003A572B"/>
    <w:rsid w:val="003B3F8E"/>
    <w:rsid w:val="003B458D"/>
    <w:rsid w:val="003B5A30"/>
    <w:rsid w:val="003B79E6"/>
    <w:rsid w:val="003B7D19"/>
    <w:rsid w:val="003B7D2F"/>
    <w:rsid w:val="003D3C02"/>
    <w:rsid w:val="003D5459"/>
    <w:rsid w:val="003E42DC"/>
    <w:rsid w:val="003E64BC"/>
    <w:rsid w:val="003F45D2"/>
    <w:rsid w:val="00412DA5"/>
    <w:rsid w:val="004216F6"/>
    <w:rsid w:val="00424A51"/>
    <w:rsid w:val="00427F95"/>
    <w:rsid w:val="00434099"/>
    <w:rsid w:val="00437577"/>
    <w:rsid w:val="00455484"/>
    <w:rsid w:val="00476D90"/>
    <w:rsid w:val="00487BF7"/>
    <w:rsid w:val="00490EAB"/>
    <w:rsid w:val="004A26CD"/>
    <w:rsid w:val="004C090B"/>
    <w:rsid w:val="004C2DA3"/>
    <w:rsid w:val="004C5793"/>
    <w:rsid w:val="004C67CE"/>
    <w:rsid w:val="004E48FC"/>
    <w:rsid w:val="004E7720"/>
    <w:rsid w:val="005034C1"/>
    <w:rsid w:val="00507C87"/>
    <w:rsid w:val="00515AF9"/>
    <w:rsid w:val="00521119"/>
    <w:rsid w:val="00533537"/>
    <w:rsid w:val="00534DDD"/>
    <w:rsid w:val="005350BA"/>
    <w:rsid w:val="0054104E"/>
    <w:rsid w:val="00543C41"/>
    <w:rsid w:val="00545A4B"/>
    <w:rsid w:val="00556CCD"/>
    <w:rsid w:val="005651BD"/>
    <w:rsid w:val="00566906"/>
    <w:rsid w:val="00566D6D"/>
    <w:rsid w:val="00570909"/>
    <w:rsid w:val="00577D91"/>
    <w:rsid w:val="005859B2"/>
    <w:rsid w:val="005969FD"/>
    <w:rsid w:val="00597535"/>
    <w:rsid w:val="005A0CAE"/>
    <w:rsid w:val="005A56E2"/>
    <w:rsid w:val="005B46E2"/>
    <w:rsid w:val="005B6015"/>
    <w:rsid w:val="005B79D7"/>
    <w:rsid w:val="005C438E"/>
    <w:rsid w:val="005C655E"/>
    <w:rsid w:val="005D129A"/>
    <w:rsid w:val="005E0706"/>
    <w:rsid w:val="005E44EB"/>
    <w:rsid w:val="005F0108"/>
    <w:rsid w:val="00603EA9"/>
    <w:rsid w:val="00606A7C"/>
    <w:rsid w:val="0061143C"/>
    <w:rsid w:val="00614AC3"/>
    <w:rsid w:val="006674FC"/>
    <w:rsid w:val="00667EE9"/>
    <w:rsid w:val="00671171"/>
    <w:rsid w:val="006900C2"/>
    <w:rsid w:val="00690870"/>
    <w:rsid w:val="006B78B5"/>
    <w:rsid w:val="006D086C"/>
    <w:rsid w:val="006D3EC0"/>
    <w:rsid w:val="006F179A"/>
    <w:rsid w:val="006F36CC"/>
    <w:rsid w:val="006F406D"/>
    <w:rsid w:val="006F4D38"/>
    <w:rsid w:val="007049C1"/>
    <w:rsid w:val="00705C44"/>
    <w:rsid w:val="00712EF1"/>
    <w:rsid w:val="00724B1F"/>
    <w:rsid w:val="00731C90"/>
    <w:rsid w:val="00742A7C"/>
    <w:rsid w:val="0074472F"/>
    <w:rsid w:val="00751636"/>
    <w:rsid w:val="00756D2F"/>
    <w:rsid w:val="007612F9"/>
    <w:rsid w:val="00777B8F"/>
    <w:rsid w:val="007813C0"/>
    <w:rsid w:val="00785973"/>
    <w:rsid w:val="00794190"/>
    <w:rsid w:val="00795A43"/>
    <w:rsid w:val="007A7048"/>
    <w:rsid w:val="007C16B4"/>
    <w:rsid w:val="007C4F39"/>
    <w:rsid w:val="007C5599"/>
    <w:rsid w:val="007E2082"/>
    <w:rsid w:val="007E2B19"/>
    <w:rsid w:val="007F33E6"/>
    <w:rsid w:val="007F6BBC"/>
    <w:rsid w:val="008009D1"/>
    <w:rsid w:val="00803DFD"/>
    <w:rsid w:val="00804662"/>
    <w:rsid w:val="00804B49"/>
    <w:rsid w:val="00806250"/>
    <w:rsid w:val="00810D8B"/>
    <w:rsid w:val="008149FD"/>
    <w:rsid w:val="0081629E"/>
    <w:rsid w:val="008162EC"/>
    <w:rsid w:val="008201F4"/>
    <w:rsid w:val="00820B52"/>
    <w:rsid w:val="00821581"/>
    <w:rsid w:val="00823B7B"/>
    <w:rsid w:val="008248FE"/>
    <w:rsid w:val="00840EDB"/>
    <w:rsid w:val="00843399"/>
    <w:rsid w:val="00871EDE"/>
    <w:rsid w:val="00874296"/>
    <w:rsid w:val="00896551"/>
    <w:rsid w:val="008A14C2"/>
    <w:rsid w:val="008A1D8C"/>
    <w:rsid w:val="008B2AAC"/>
    <w:rsid w:val="008B5954"/>
    <w:rsid w:val="008C187E"/>
    <w:rsid w:val="008C2A97"/>
    <w:rsid w:val="008C2D9B"/>
    <w:rsid w:val="008D6282"/>
    <w:rsid w:val="008F0BC9"/>
    <w:rsid w:val="008F0F6D"/>
    <w:rsid w:val="00914C61"/>
    <w:rsid w:val="00915905"/>
    <w:rsid w:val="0092020A"/>
    <w:rsid w:val="00922D9C"/>
    <w:rsid w:val="009249DD"/>
    <w:rsid w:val="00926DAD"/>
    <w:rsid w:val="00941A68"/>
    <w:rsid w:val="00942727"/>
    <w:rsid w:val="00945D2C"/>
    <w:rsid w:val="00957031"/>
    <w:rsid w:val="00957F31"/>
    <w:rsid w:val="0096234E"/>
    <w:rsid w:val="0096329A"/>
    <w:rsid w:val="00970F29"/>
    <w:rsid w:val="00972D07"/>
    <w:rsid w:val="00984193"/>
    <w:rsid w:val="00985C14"/>
    <w:rsid w:val="00995AE8"/>
    <w:rsid w:val="00996D5A"/>
    <w:rsid w:val="009B16BC"/>
    <w:rsid w:val="009B1E11"/>
    <w:rsid w:val="009B2222"/>
    <w:rsid w:val="009C028E"/>
    <w:rsid w:val="009C6B34"/>
    <w:rsid w:val="009D23AD"/>
    <w:rsid w:val="009D38FC"/>
    <w:rsid w:val="009E2ACB"/>
    <w:rsid w:val="009E552D"/>
    <w:rsid w:val="009E7A61"/>
    <w:rsid w:val="009F18CC"/>
    <w:rsid w:val="009F767A"/>
    <w:rsid w:val="00A0152E"/>
    <w:rsid w:val="00A21206"/>
    <w:rsid w:val="00A228F4"/>
    <w:rsid w:val="00A3557C"/>
    <w:rsid w:val="00A37F90"/>
    <w:rsid w:val="00A522B5"/>
    <w:rsid w:val="00A55D36"/>
    <w:rsid w:val="00A57146"/>
    <w:rsid w:val="00A61424"/>
    <w:rsid w:val="00A7362F"/>
    <w:rsid w:val="00A744F9"/>
    <w:rsid w:val="00A92058"/>
    <w:rsid w:val="00A92316"/>
    <w:rsid w:val="00AA2C16"/>
    <w:rsid w:val="00AA6C9A"/>
    <w:rsid w:val="00AA7616"/>
    <w:rsid w:val="00AB0287"/>
    <w:rsid w:val="00AC1EB8"/>
    <w:rsid w:val="00AC2C0E"/>
    <w:rsid w:val="00AC37BF"/>
    <w:rsid w:val="00AC418B"/>
    <w:rsid w:val="00AD0ECC"/>
    <w:rsid w:val="00AD156E"/>
    <w:rsid w:val="00AD2910"/>
    <w:rsid w:val="00AE0694"/>
    <w:rsid w:val="00AE1D10"/>
    <w:rsid w:val="00AF208A"/>
    <w:rsid w:val="00B14501"/>
    <w:rsid w:val="00B1614C"/>
    <w:rsid w:val="00B339FF"/>
    <w:rsid w:val="00B342E5"/>
    <w:rsid w:val="00B37DB1"/>
    <w:rsid w:val="00B37F36"/>
    <w:rsid w:val="00B410FA"/>
    <w:rsid w:val="00B43D9F"/>
    <w:rsid w:val="00B45860"/>
    <w:rsid w:val="00B4755F"/>
    <w:rsid w:val="00B52F03"/>
    <w:rsid w:val="00B545D7"/>
    <w:rsid w:val="00B55DC7"/>
    <w:rsid w:val="00B61940"/>
    <w:rsid w:val="00B62158"/>
    <w:rsid w:val="00B6446A"/>
    <w:rsid w:val="00B74AD7"/>
    <w:rsid w:val="00B76458"/>
    <w:rsid w:val="00B8642E"/>
    <w:rsid w:val="00B87EF2"/>
    <w:rsid w:val="00B96BB4"/>
    <w:rsid w:val="00BA1D33"/>
    <w:rsid w:val="00BB5841"/>
    <w:rsid w:val="00BB58D6"/>
    <w:rsid w:val="00BB7A04"/>
    <w:rsid w:val="00BC22EE"/>
    <w:rsid w:val="00BE14DD"/>
    <w:rsid w:val="00BE6862"/>
    <w:rsid w:val="00BF2A1D"/>
    <w:rsid w:val="00BF35CA"/>
    <w:rsid w:val="00BF4E75"/>
    <w:rsid w:val="00C01110"/>
    <w:rsid w:val="00C01313"/>
    <w:rsid w:val="00C17A00"/>
    <w:rsid w:val="00C20CDC"/>
    <w:rsid w:val="00C22457"/>
    <w:rsid w:val="00C31C14"/>
    <w:rsid w:val="00C31C61"/>
    <w:rsid w:val="00C3653B"/>
    <w:rsid w:val="00C365C4"/>
    <w:rsid w:val="00C3754F"/>
    <w:rsid w:val="00C51B37"/>
    <w:rsid w:val="00C63D12"/>
    <w:rsid w:val="00C7045A"/>
    <w:rsid w:val="00C76899"/>
    <w:rsid w:val="00C827FA"/>
    <w:rsid w:val="00C9058A"/>
    <w:rsid w:val="00C90E82"/>
    <w:rsid w:val="00C936F1"/>
    <w:rsid w:val="00CA1D7A"/>
    <w:rsid w:val="00CA64F9"/>
    <w:rsid w:val="00CB2C64"/>
    <w:rsid w:val="00CB432C"/>
    <w:rsid w:val="00CC08A2"/>
    <w:rsid w:val="00CC0EDA"/>
    <w:rsid w:val="00CC44FE"/>
    <w:rsid w:val="00CC4B9F"/>
    <w:rsid w:val="00CC660C"/>
    <w:rsid w:val="00CC7F3C"/>
    <w:rsid w:val="00CD0E4F"/>
    <w:rsid w:val="00CF06C0"/>
    <w:rsid w:val="00D011D5"/>
    <w:rsid w:val="00D0714B"/>
    <w:rsid w:val="00D147F6"/>
    <w:rsid w:val="00D154BE"/>
    <w:rsid w:val="00D17964"/>
    <w:rsid w:val="00D17A70"/>
    <w:rsid w:val="00D17D4F"/>
    <w:rsid w:val="00D3238F"/>
    <w:rsid w:val="00D3441C"/>
    <w:rsid w:val="00D47B31"/>
    <w:rsid w:val="00D6631D"/>
    <w:rsid w:val="00D674B6"/>
    <w:rsid w:val="00D67658"/>
    <w:rsid w:val="00D75874"/>
    <w:rsid w:val="00D82C4C"/>
    <w:rsid w:val="00D83541"/>
    <w:rsid w:val="00D844B0"/>
    <w:rsid w:val="00D84B57"/>
    <w:rsid w:val="00DA3F75"/>
    <w:rsid w:val="00DA5BAF"/>
    <w:rsid w:val="00DA6E17"/>
    <w:rsid w:val="00DA73F8"/>
    <w:rsid w:val="00DB3E3C"/>
    <w:rsid w:val="00DC0FD3"/>
    <w:rsid w:val="00DC35FF"/>
    <w:rsid w:val="00DC7B7F"/>
    <w:rsid w:val="00DE27F8"/>
    <w:rsid w:val="00DF2C78"/>
    <w:rsid w:val="00DF6277"/>
    <w:rsid w:val="00E1217E"/>
    <w:rsid w:val="00E220AE"/>
    <w:rsid w:val="00E34539"/>
    <w:rsid w:val="00E3573D"/>
    <w:rsid w:val="00E35A51"/>
    <w:rsid w:val="00E555C5"/>
    <w:rsid w:val="00E65EBA"/>
    <w:rsid w:val="00E671EE"/>
    <w:rsid w:val="00E675D1"/>
    <w:rsid w:val="00E762B0"/>
    <w:rsid w:val="00E82806"/>
    <w:rsid w:val="00E87E68"/>
    <w:rsid w:val="00EA4527"/>
    <w:rsid w:val="00EB2704"/>
    <w:rsid w:val="00EC43CD"/>
    <w:rsid w:val="00EE6532"/>
    <w:rsid w:val="00EF0B4E"/>
    <w:rsid w:val="00EF0DB6"/>
    <w:rsid w:val="00EF240E"/>
    <w:rsid w:val="00EF4E1C"/>
    <w:rsid w:val="00EF5291"/>
    <w:rsid w:val="00F07008"/>
    <w:rsid w:val="00F12DEC"/>
    <w:rsid w:val="00F24654"/>
    <w:rsid w:val="00F345BC"/>
    <w:rsid w:val="00F349D7"/>
    <w:rsid w:val="00F473DC"/>
    <w:rsid w:val="00F47BE3"/>
    <w:rsid w:val="00F57AC9"/>
    <w:rsid w:val="00F626FD"/>
    <w:rsid w:val="00F65831"/>
    <w:rsid w:val="00F7445D"/>
    <w:rsid w:val="00F77570"/>
    <w:rsid w:val="00F80CB3"/>
    <w:rsid w:val="00F8102C"/>
    <w:rsid w:val="00F822C3"/>
    <w:rsid w:val="00F8343C"/>
    <w:rsid w:val="00F864A0"/>
    <w:rsid w:val="00F8744D"/>
    <w:rsid w:val="00F92FF9"/>
    <w:rsid w:val="00FA41F3"/>
    <w:rsid w:val="00FB3436"/>
    <w:rsid w:val="00FD2081"/>
    <w:rsid w:val="00FD7FBD"/>
    <w:rsid w:val="00FE4EE0"/>
    <w:rsid w:val="00FE4FDF"/>
    <w:rsid w:val="00FE5096"/>
    <w:rsid w:val="00FF2E8F"/>
    <w:rsid w:val="00FF74D6"/>
    <w:rsid w:val="00FF7C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030"/>
    <o:shapelayout v:ext="edit">
      <o:idmap v:ext="edit" data="1"/>
      <o:regrouptable v:ext="edit">
        <o:entry new="1" old="0"/>
        <o:entry new="2" old="0"/>
        <o:entry new="3" old="0"/>
        <o:entry new="4" old="0"/>
        <o:entry new="5" old="0"/>
        <o:entry new="6" old="0"/>
        <o:entry new="7" old="0"/>
        <o:entry new="8" old="0"/>
        <o:entry new="9" old="0"/>
        <o:entry new="10" old="0"/>
        <o:entry new="1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9D1"/>
    <w:pPr>
      <w:widowControl w:val="0"/>
      <w:tabs>
        <w:tab w:val="left" w:pos="720"/>
        <w:tab w:val="left" w:pos="1440"/>
        <w:tab w:val="left" w:pos="2160"/>
        <w:tab w:val="left" w:pos="2880"/>
        <w:tab w:val="left" w:pos="4680"/>
        <w:tab w:val="left" w:pos="5400"/>
        <w:tab w:val="right" w:pos="9000"/>
      </w:tabs>
      <w:adjustRightInd w:val="0"/>
      <w:spacing w:after="0" w:line="360" w:lineRule="auto"/>
      <w:jc w:val="both"/>
      <w:textAlignment w:val="baseline"/>
    </w:pPr>
    <w:rPr>
      <w:rFonts w:ascii="Arial" w:eastAsia="Times New Roman" w:hAnsi="Arial" w:cs="Times New Roman"/>
      <w:sz w:val="24"/>
      <w:szCs w:val="20"/>
    </w:rPr>
  </w:style>
  <w:style w:type="paragraph" w:styleId="Heading1">
    <w:name w:val="heading 1"/>
    <w:basedOn w:val="Normal"/>
    <w:next w:val="StandardParagraph"/>
    <w:link w:val="Heading1Char"/>
    <w:uiPriority w:val="9"/>
    <w:qFormat/>
    <w:rsid w:val="00985C14"/>
    <w:pPr>
      <w:keepNext/>
      <w:keepLines/>
      <w:numPr>
        <w:numId w:val="6"/>
      </w:numPr>
      <w:spacing w:before="240" w:after="240"/>
      <w:jc w:val="left"/>
      <w:outlineLvl w:val="0"/>
    </w:pPr>
    <w:rPr>
      <w:rFonts w:eastAsiaTheme="majorEastAsia" w:cstheme="majorBidi"/>
      <w:b/>
      <w:bCs/>
      <w:color w:val="000000" w:themeColor="text1"/>
      <w:sz w:val="28"/>
      <w:szCs w:val="28"/>
    </w:rPr>
  </w:style>
  <w:style w:type="paragraph" w:styleId="Heading2">
    <w:name w:val="heading 2"/>
    <w:basedOn w:val="Normal"/>
    <w:next w:val="StandardParagraph"/>
    <w:link w:val="Heading2Char"/>
    <w:uiPriority w:val="9"/>
    <w:unhideWhenUsed/>
    <w:qFormat/>
    <w:rsid w:val="00FF74D6"/>
    <w:pPr>
      <w:keepNext/>
      <w:keepLines/>
      <w:numPr>
        <w:ilvl w:val="1"/>
        <w:numId w:val="6"/>
      </w:numPr>
      <w:tabs>
        <w:tab w:val="clear" w:pos="720"/>
        <w:tab w:val="clear" w:pos="1440"/>
        <w:tab w:val="left" w:pos="0"/>
        <w:tab w:val="left" w:pos="567"/>
      </w:tabs>
      <w:spacing w:before="240" w:after="240"/>
      <w:outlineLvl w:val="1"/>
    </w:pPr>
    <w:rPr>
      <w:rFonts w:eastAsiaTheme="majorEastAsia" w:cstheme="majorBidi"/>
      <w:b/>
      <w:bCs/>
      <w:color w:val="000000" w:themeColor="text1"/>
      <w:szCs w:val="26"/>
    </w:rPr>
  </w:style>
  <w:style w:type="paragraph" w:styleId="Heading3">
    <w:name w:val="heading 3"/>
    <w:basedOn w:val="Normal"/>
    <w:next w:val="Normal"/>
    <w:link w:val="Heading3Char"/>
    <w:uiPriority w:val="9"/>
    <w:unhideWhenUsed/>
    <w:qFormat/>
    <w:rsid w:val="00A3557C"/>
    <w:pPr>
      <w:keepNext/>
      <w:keepLines/>
      <w:numPr>
        <w:ilvl w:val="2"/>
        <w:numId w:val="6"/>
      </w:numPr>
      <w:spacing w:before="200"/>
      <w:outlineLvl w:val="2"/>
    </w:pPr>
    <w:rPr>
      <w:rFonts w:eastAsiaTheme="majorEastAsia" w:cs="Arial"/>
      <w:b/>
      <w:bCs/>
      <w:i/>
      <w:color w:val="000000" w:themeColor="text1"/>
    </w:rPr>
  </w:style>
  <w:style w:type="paragraph" w:styleId="Heading4">
    <w:name w:val="heading 4"/>
    <w:basedOn w:val="Normal"/>
    <w:next w:val="Normal"/>
    <w:link w:val="Heading4Char"/>
    <w:uiPriority w:val="9"/>
    <w:semiHidden/>
    <w:unhideWhenUsed/>
    <w:qFormat/>
    <w:rsid w:val="00A3557C"/>
    <w:pPr>
      <w:keepNext/>
      <w:keepLines/>
      <w:numPr>
        <w:ilvl w:val="3"/>
        <w:numId w:val="6"/>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557C"/>
    <w:pPr>
      <w:keepNext/>
      <w:keepLines/>
      <w:numPr>
        <w:ilvl w:val="4"/>
        <w:numId w:val="6"/>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557C"/>
    <w:pPr>
      <w:keepNext/>
      <w:keepLines/>
      <w:numPr>
        <w:ilvl w:val="5"/>
        <w:numId w:val="6"/>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557C"/>
    <w:pPr>
      <w:keepNext/>
      <w:keepLines/>
      <w:numPr>
        <w:ilvl w:val="6"/>
        <w:numId w:val="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557C"/>
    <w:pPr>
      <w:keepNext/>
      <w:keepLines/>
      <w:numPr>
        <w:ilvl w:val="7"/>
        <w:numId w:val="6"/>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3557C"/>
    <w:pPr>
      <w:keepNext/>
      <w:keepLines/>
      <w:numPr>
        <w:ilvl w:val="8"/>
        <w:numId w:val="6"/>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09D1"/>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erChar">
    <w:name w:val="Header Char"/>
    <w:basedOn w:val="DefaultParagraphFont"/>
    <w:link w:val="Header"/>
    <w:uiPriority w:val="99"/>
    <w:rsid w:val="008009D1"/>
    <w:rPr>
      <w:rFonts w:ascii="Arial" w:eastAsia="Times New Roman" w:hAnsi="Arial" w:cs="Times New Roman"/>
      <w:sz w:val="24"/>
      <w:szCs w:val="20"/>
    </w:rPr>
  </w:style>
  <w:style w:type="paragraph" w:customStyle="1" w:styleId="Headings3">
    <w:name w:val="Headings 3"/>
    <w:basedOn w:val="Heading1"/>
    <w:autoRedefine/>
    <w:rsid w:val="008009D1"/>
    <w:pPr>
      <w:keepNext w:val="0"/>
      <w:keepLines w:val="0"/>
      <w:tabs>
        <w:tab w:val="clear" w:pos="9000"/>
        <w:tab w:val="right" w:pos="8460"/>
        <w:tab w:val="right" w:pos="8820"/>
      </w:tabs>
      <w:spacing w:before="0"/>
      <w:ind w:right="206"/>
    </w:pPr>
    <w:rPr>
      <w:rFonts w:eastAsia="Times New Roman" w:cs="Times New Roman"/>
      <w:bCs w:val="0"/>
      <w:color w:val="auto"/>
      <w:kern w:val="24"/>
      <w:szCs w:val="20"/>
    </w:rPr>
  </w:style>
  <w:style w:type="paragraph" w:customStyle="1" w:styleId="Headings4">
    <w:name w:val="Headings 4"/>
    <w:basedOn w:val="Heading1"/>
    <w:rsid w:val="008009D1"/>
    <w:pPr>
      <w:keepNext w:val="0"/>
      <w:keepLines w:val="0"/>
      <w:spacing w:before="0"/>
    </w:pPr>
    <w:rPr>
      <w:rFonts w:eastAsia="Times New Roman" w:cs="Times New Roman"/>
      <w:bCs w:val="0"/>
      <w:color w:val="auto"/>
      <w:kern w:val="24"/>
      <w:sz w:val="24"/>
      <w:szCs w:val="20"/>
    </w:rPr>
  </w:style>
  <w:style w:type="paragraph" w:styleId="BodyText">
    <w:name w:val="Body Text"/>
    <w:basedOn w:val="Normal"/>
    <w:link w:val="BodyTextChar"/>
    <w:rsid w:val="008009D1"/>
    <w:pPr>
      <w:tabs>
        <w:tab w:val="clear" w:pos="720"/>
        <w:tab w:val="clear" w:pos="1440"/>
        <w:tab w:val="clear" w:pos="2160"/>
        <w:tab w:val="clear" w:pos="2880"/>
        <w:tab w:val="clear" w:pos="4680"/>
        <w:tab w:val="clear" w:pos="5400"/>
        <w:tab w:val="clear" w:pos="9000"/>
      </w:tabs>
      <w:spacing w:after="120" w:line="240" w:lineRule="auto"/>
      <w:jc w:val="left"/>
    </w:pPr>
    <w:rPr>
      <w:szCs w:val="24"/>
      <w:lang w:val="en-US"/>
    </w:rPr>
  </w:style>
  <w:style w:type="character" w:customStyle="1" w:styleId="BodyTextChar">
    <w:name w:val="Body Text Char"/>
    <w:basedOn w:val="DefaultParagraphFont"/>
    <w:link w:val="BodyText"/>
    <w:rsid w:val="008009D1"/>
    <w:rPr>
      <w:rFonts w:ascii="Arial" w:eastAsia="Times New Roman" w:hAnsi="Arial" w:cs="Times New Roman"/>
      <w:sz w:val="24"/>
      <w:szCs w:val="24"/>
      <w:lang w:val="en-US"/>
    </w:rPr>
  </w:style>
  <w:style w:type="character" w:styleId="Hyperlink">
    <w:name w:val="Hyperlink"/>
    <w:basedOn w:val="DefaultParagraphFont"/>
    <w:uiPriority w:val="99"/>
    <w:rsid w:val="008009D1"/>
    <w:rPr>
      <w:color w:val="0000FF"/>
      <w:u w:val="single"/>
    </w:rPr>
  </w:style>
  <w:style w:type="paragraph" w:customStyle="1" w:styleId="TableHeading">
    <w:name w:val="Table Heading"/>
    <w:basedOn w:val="Normal"/>
    <w:uiPriority w:val="99"/>
    <w:rsid w:val="008009D1"/>
    <w:pPr>
      <w:tabs>
        <w:tab w:val="clear" w:pos="720"/>
        <w:tab w:val="clear" w:pos="1440"/>
        <w:tab w:val="clear" w:pos="2160"/>
        <w:tab w:val="clear" w:pos="2880"/>
        <w:tab w:val="clear" w:pos="4680"/>
        <w:tab w:val="clear" w:pos="5400"/>
        <w:tab w:val="clear" w:pos="9000"/>
      </w:tabs>
      <w:spacing w:before="40" w:after="40" w:line="240" w:lineRule="auto"/>
      <w:jc w:val="center"/>
    </w:pPr>
    <w:rPr>
      <w:b/>
      <w:sz w:val="20"/>
      <w:szCs w:val="24"/>
      <w:lang w:val="en-US"/>
    </w:rPr>
  </w:style>
  <w:style w:type="character" w:customStyle="1" w:styleId="Heading1Char">
    <w:name w:val="Heading 1 Char"/>
    <w:basedOn w:val="DefaultParagraphFont"/>
    <w:link w:val="Heading1"/>
    <w:uiPriority w:val="9"/>
    <w:rsid w:val="00985C14"/>
    <w:rPr>
      <w:rFonts w:ascii="Arial" w:eastAsiaTheme="majorEastAsia" w:hAnsi="Arial" w:cstheme="majorBidi"/>
      <w:b/>
      <w:bCs/>
      <w:color w:val="000000" w:themeColor="text1"/>
      <w:sz w:val="28"/>
      <w:szCs w:val="28"/>
    </w:rPr>
  </w:style>
  <w:style w:type="paragraph" w:styleId="Footer">
    <w:name w:val="footer"/>
    <w:basedOn w:val="Normal"/>
    <w:link w:val="FooterChar"/>
    <w:uiPriority w:val="99"/>
    <w:unhideWhenUsed/>
    <w:rsid w:val="008009D1"/>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8009D1"/>
    <w:rPr>
      <w:rFonts w:ascii="Arial" w:eastAsia="Times New Roman" w:hAnsi="Arial" w:cs="Times New Roman"/>
      <w:sz w:val="24"/>
      <w:szCs w:val="20"/>
    </w:rPr>
  </w:style>
  <w:style w:type="paragraph" w:customStyle="1" w:styleId="FrontPageTitle">
    <w:name w:val="Front Page Title"/>
    <w:basedOn w:val="Normal"/>
    <w:qFormat/>
    <w:rsid w:val="003E64BC"/>
    <w:pPr>
      <w:widowControl/>
      <w:tabs>
        <w:tab w:val="clear" w:pos="720"/>
        <w:tab w:val="clear" w:pos="1440"/>
        <w:tab w:val="clear" w:pos="2160"/>
        <w:tab w:val="clear" w:pos="2880"/>
        <w:tab w:val="clear" w:pos="4680"/>
        <w:tab w:val="clear" w:pos="5400"/>
        <w:tab w:val="clear" w:pos="9000"/>
      </w:tabs>
      <w:adjustRightInd/>
      <w:spacing w:after="200" w:line="276" w:lineRule="auto"/>
      <w:jc w:val="left"/>
      <w:textAlignment w:val="auto"/>
    </w:pPr>
    <w:rPr>
      <w:rFonts w:eastAsiaTheme="majorEastAsia" w:cstheme="majorBidi"/>
      <w:b/>
      <w:color w:val="548DD4" w:themeColor="text2" w:themeTint="99"/>
      <w:spacing w:val="5"/>
      <w:kern w:val="28"/>
      <w:sz w:val="52"/>
      <w:szCs w:val="52"/>
    </w:rPr>
  </w:style>
  <w:style w:type="paragraph" w:customStyle="1" w:styleId="StandardParagraph">
    <w:name w:val="Standard Paragraph"/>
    <w:basedOn w:val="Normal"/>
    <w:link w:val="StandardParagraphChar"/>
    <w:qFormat/>
    <w:rsid w:val="00DA73F8"/>
    <w:pPr>
      <w:tabs>
        <w:tab w:val="clear" w:pos="9000"/>
        <w:tab w:val="right" w:pos="8460"/>
        <w:tab w:val="right" w:pos="8820"/>
      </w:tabs>
      <w:spacing w:after="240"/>
      <w:ind w:right="204"/>
      <w:jc w:val="left"/>
    </w:pPr>
  </w:style>
  <w:style w:type="paragraph" w:customStyle="1" w:styleId="Standardnumberbullet0">
    <w:name w:val="Standard number bullet"/>
    <w:basedOn w:val="StandardParagraph"/>
    <w:qFormat/>
    <w:rsid w:val="001C457B"/>
    <w:pPr>
      <w:numPr>
        <w:numId w:val="5"/>
      </w:numPr>
    </w:pPr>
  </w:style>
  <w:style w:type="paragraph" w:customStyle="1" w:styleId="StandardBullet0">
    <w:name w:val="Standard Bullet"/>
    <w:basedOn w:val="Normal"/>
    <w:qFormat/>
    <w:rsid w:val="00390205"/>
    <w:pPr>
      <w:numPr>
        <w:numId w:val="1"/>
      </w:numPr>
      <w:tabs>
        <w:tab w:val="clear" w:pos="9000"/>
        <w:tab w:val="right" w:pos="8460"/>
        <w:tab w:val="right" w:pos="8820"/>
      </w:tabs>
      <w:spacing w:after="240"/>
      <w:ind w:right="204"/>
      <w:jc w:val="left"/>
    </w:pPr>
  </w:style>
  <w:style w:type="character" w:customStyle="1" w:styleId="Heading2Char">
    <w:name w:val="Heading 2 Char"/>
    <w:basedOn w:val="DefaultParagraphFont"/>
    <w:link w:val="Heading2"/>
    <w:uiPriority w:val="9"/>
    <w:rsid w:val="00FF74D6"/>
    <w:rPr>
      <w:rFonts w:ascii="Arial" w:eastAsiaTheme="majorEastAsia" w:hAnsi="Arial" w:cstheme="majorBidi"/>
      <w:b/>
      <w:bCs/>
      <w:color w:val="000000" w:themeColor="text1"/>
      <w:sz w:val="24"/>
      <w:szCs w:val="26"/>
    </w:rPr>
  </w:style>
  <w:style w:type="paragraph" w:customStyle="1" w:styleId="Standardsubbullet">
    <w:name w:val="Standard sub bullet"/>
    <w:basedOn w:val="StandardBullet0"/>
    <w:qFormat/>
    <w:rsid w:val="002A58FE"/>
    <w:pPr>
      <w:numPr>
        <w:ilvl w:val="1"/>
      </w:numPr>
    </w:pPr>
  </w:style>
  <w:style w:type="character" w:styleId="Emphasis">
    <w:name w:val="Emphasis"/>
    <w:uiPriority w:val="20"/>
    <w:qFormat/>
    <w:rsid w:val="008A1D8C"/>
    <w:rPr>
      <w:i/>
      <w:iCs/>
    </w:rPr>
  </w:style>
  <w:style w:type="paragraph" w:customStyle="1" w:styleId="TableText">
    <w:name w:val="Table Text"/>
    <w:basedOn w:val="Normal"/>
    <w:uiPriority w:val="99"/>
    <w:rsid w:val="00985C14"/>
    <w:pPr>
      <w:widowControl/>
      <w:tabs>
        <w:tab w:val="clear" w:pos="720"/>
        <w:tab w:val="clear" w:pos="1440"/>
        <w:tab w:val="clear" w:pos="2160"/>
        <w:tab w:val="clear" w:pos="2880"/>
        <w:tab w:val="clear" w:pos="4680"/>
        <w:tab w:val="clear" w:pos="5400"/>
        <w:tab w:val="clear" w:pos="9000"/>
      </w:tabs>
      <w:adjustRightInd/>
      <w:spacing w:before="60" w:after="60" w:line="280" w:lineRule="exact"/>
      <w:jc w:val="left"/>
      <w:textAlignment w:val="auto"/>
    </w:pPr>
    <w:rPr>
      <w:rFonts w:cs="Arial"/>
      <w:sz w:val="20"/>
      <w:lang w:val="en-AU"/>
    </w:rPr>
  </w:style>
  <w:style w:type="paragraph" w:styleId="ListParagraph">
    <w:name w:val="List Paragraph"/>
    <w:basedOn w:val="Normal"/>
    <w:uiPriority w:val="34"/>
    <w:qFormat/>
    <w:rsid w:val="00922D9C"/>
    <w:pPr>
      <w:widowControl/>
      <w:numPr>
        <w:numId w:val="2"/>
      </w:numPr>
      <w:tabs>
        <w:tab w:val="clear" w:pos="720"/>
        <w:tab w:val="clear" w:pos="1440"/>
        <w:tab w:val="clear" w:pos="2160"/>
        <w:tab w:val="clear" w:pos="2880"/>
        <w:tab w:val="clear" w:pos="4680"/>
        <w:tab w:val="clear" w:pos="5400"/>
        <w:tab w:val="clear" w:pos="9000"/>
      </w:tabs>
      <w:adjustRightInd/>
      <w:spacing w:after="240" w:line="280" w:lineRule="exact"/>
      <w:jc w:val="left"/>
      <w:textAlignment w:val="auto"/>
    </w:pPr>
    <w:rPr>
      <w:rFonts w:cs="Arial"/>
      <w:sz w:val="22"/>
      <w:lang w:val="en-NZ"/>
    </w:rPr>
  </w:style>
  <w:style w:type="table" w:styleId="TableGrid">
    <w:name w:val="Table Grid"/>
    <w:basedOn w:val="TableNormal"/>
    <w:rsid w:val="00F83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paratable">
    <w:name w:val="Standard para table"/>
    <w:basedOn w:val="StandardParagraph"/>
    <w:qFormat/>
    <w:rsid w:val="00E87E68"/>
    <w:pPr>
      <w:spacing w:before="120" w:after="120" w:line="276" w:lineRule="auto"/>
    </w:pPr>
    <w:rPr>
      <w:szCs w:val="24"/>
    </w:rPr>
  </w:style>
  <w:style w:type="paragraph" w:styleId="NoSpacing">
    <w:name w:val="No Spacing"/>
    <w:uiPriority w:val="1"/>
    <w:qFormat/>
    <w:rsid w:val="00FF2E8F"/>
    <w:pPr>
      <w:widowControl w:val="0"/>
      <w:tabs>
        <w:tab w:val="left" w:pos="720"/>
        <w:tab w:val="left" w:pos="1440"/>
        <w:tab w:val="left" w:pos="2160"/>
        <w:tab w:val="left" w:pos="2880"/>
        <w:tab w:val="left" w:pos="4680"/>
        <w:tab w:val="left" w:pos="5400"/>
        <w:tab w:val="right" w:pos="9000"/>
      </w:tabs>
      <w:adjustRightInd w:val="0"/>
      <w:spacing w:after="0" w:line="240" w:lineRule="auto"/>
      <w:jc w:val="both"/>
      <w:textAlignment w:val="baseline"/>
    </w:pPr>
    <w:rPr>
      <w:rFonts w:ascii="Arial" w:eastAsia="Times New Roman" w:hAnsi="Arial" w:cs="Times New Roman"/>
      <w:sz w:val="24"/>
      <w:szCs w:val="20"/>
    </w:rPr>
  </w:style>
  <w:style w:type="paragraph" w:customStyle="1" w:styleId="StandardParagraphTable">
    <w:name w:val="Standard Paragraph Table"/>
    <w:basedOn w:val="StandardParagraph"/>
    <w:rsid w:val="00BC22EE"/>
    <w:pPr>
      <w:widowControl/>
      <w:tabs>
        <w:tab w:val="clear" w:pos="720"/>
        <w:tab w:val="clear" w:pos="1440"/>
        <w:tab w:val="clear" w:pos="2160"/>
        <w:tab w:val="clear" w:pos="2880"/>
        <w:tab w:val="clear" w:pos="4680"/>
        <w:tab w:val="clear" w:pos="5400"/>
        <w:tab w:val="clear" w:pos="8460"/>
        <w:tab w:val="clear" w:pos="8820"/>
      </w:tabs>
      <w:adjustRightInd/>
      <w:spacing w:before="60" w:after="60" w:line="240" w:lineRule="auto"/>
      <w:ind w:right="0"/>
      <w:contextualSpacing/>
      <w:textAlignment w:val="auto"/>
    </w:pPr>
    <w:rPr>
      <w:rFonts w:cs="Arial"/>
      <w:sz w:val="18"/>
      <w:szCs w:val="22"/>
    </w:rPr>
  </w:style>
  <w:style w:type="paragraph" w:customStyle="1" w:styleId="StandardNumberBullet">
    <w:name w:val="Standard Number Bullet"/>
    <w:basedOn w:val="StandardBullet0"/>
    <w:qFormat/>
    <w:rsid w:val="00BC22EE"/>
    <w:pPr>
      <w:widowControl/>
      <w:numPr>
        <w:numId w:val="4"/>
      </w:numPr>
      <w:tabs>
        <w:tab w:val="clear" w:pos="1440"/>
        <w:tab w:val="clear" w:pos="2160"/>
        <w:tab w:val="clear" w:pos="2880"/>
        <w:tab w:val="clear" w:pos="4680"/>
        <w:tab w:val="clear" w:pos="5400"/>
        <w:tab w:val="clear" w:pos="8460"/>
        <w:tab w:val="clear" w:pos="8820"/>
      </w:tabs>
      <w:adjustRightInd/>
      <w:spacing w:after="200" w:line="240" w:lineRule="auto"/>
      <w:ind w:right="0"/>
      <w:textAlignment w:val="auto"/>
    </w:pPr>
    <w:rPr>
      <w:rFonts w:eastAsia="Calibri" w:cs="Arial"/>
      <w:sz w:val="22"/>
      <w:szCs w:val="22"/>
    </w:rPr>
  </w:style>
  <w:style w:type="character" w:customStyle="1" w:styleId="StandardParagraphChar">
    <w:name w:val="Standard Paragraph Char"/>
    <w:basedOn w:val="DefaultParagraphFont"/>
    <w:link w:val="StandardParagraph"/>
    <w:locked/>
    <w:rsid w:val="00DA73F8"/>
    <w:rPr>
      <w:rFonts w:ascii="Arial" w:eastAsia="Times New Roman" w:hAnsi="Arial" w:cs="Times New Roman"/>
      <w:sz w:val="24"/>
      <w:szCs w:val="20"/>
    </w:rPr>
  </w:style>
  <w:style w:type="character" w:customStyle="1" w:styleId="Heading3Char">
    <w:name w:val="Heading 3 Char"/>
    <w:basedOn w:val="DefaultParagraphFont"/>
    <w:link w:val="Heading3"/>
    <w:uiPriority w:val="9"/>
    <w:rsid w:val="00A3557C"/>
    <w:rPr>
      <w:rFonts w:ascii="Arial" w:eastAsiaTheme="majorEastAsia" w:hAnsi="Arial" w:cs="Arial"/>
      <w:b/>
      <w:bCs/>
      <w:i/>
      <w:color w:val="000000" w:themeColor="text1"/>
      <w:sz w:val="24"/>
      <w:szCs w:val="20"/>
    </w:rPr>
  </w:style>
  <w:style w:type="character" w:customStyle="1" w:styleId="Heading4Char">
    <w:name w:val="Heading 4 Char"/>
    <w:basedOn w:val="DefaultParagraphFont"/>
    <w:link w:val="Heading4"/>
    <w:uiPriority w:val="9"/>
    <w:semiHidden/>
    <w:rsid w:val="00A3557C"/>
    <w:rPr>
      <w:rFonts w:asciiTheme="majorHAnsi" w:eastAsiaTheme="majorEastAsia" w:hAnsiTheme="majorHAnsi" w:cstheme="majorBidi"/>
      <w:b/>
      <w:bCs/>
      <w:i/>
      <w:iCs/>
      <w:color w:val="4F81BD" w:themeColor="accent1"/>
      <w:sz w:val="24"/>
      <w:szCs w:val="20"/>
    </w:rPr>
  </w:style>
  <w:style w:type="character" w:customStyle="1" w:styleId="Heading5Char">
    <w:name w:val="Heading 5 Char"/>
    <w:basedOn w:val="DefaultParagraphFont"/>
    <w:link w:val="Heading5"/>
    <w:uiPriority w:val="9"/>
    <w:semiHidden/>
    <w:rsid w:val="00A3557C"/>
    <w:rPr>
      <w:rFonts w:asciiTheme="majorHAnsi" w:eastAsiaTheme="majorEastAsia" w:hAnsiTheme="majorHAnsi" w:cstheme="majorBidi"/>
      <w:color w:val="243F60" w:themeColor="accent1" w:themeShade="7F"/>
      <w:sz w:val="24"/>
      <w:szCs w:val="20"/>
    </w:rPr>
  </w:style>
  <w:style w:type="character" w:customStyle="1" w:styleId="Heading6Char">
    <w:name w:val="Heading 6 Char"/>
    <w:basedOn w:val="DefaultParagraphFont"/>
    <w:link w:val="Heading6"/>
    <w:uiPriority w:val="9"/>
    <w:semiHidden/>
    <w:rsid w:val="00A3557C"/>
    <w:rPr>
      <w:rFonts w:asciiTheme="majorHAnsi" w:eastAsiaTheme="majorEastAsia" w:hAnsiTheme="majorHAnsi" w:cstheme="majorBidi"/>
      <w:i/>
      <w:iCs/>
      <w:color w:val="243F60" w:themeColor="accent1" w:themeShade="7F"/>
      <w:sz w:val="24"/>
      <w:szCs w:val="20"/>
    </w:rPr>
  </w:style>
  <w:style w:type="character" w:customStyle="1" w:styleId="Heading7Char">
    <w:name w:val="Heading 7 Char"/>
    <w:basedOn w:val="DefaultParagraphFont"/>
    <w:link w:val="Heading7"/>
    <w:uiPriority w:val="9"/>
    <w:semiHidden/>
    <w:rsid w:val="00A3557C"/>
    <w:rPr>
      <w:rFonts w:asciiTheme="majorHAnsi" w:eastAsiaTheme="majorEastAsia" w:hAnsiTheme="majorHAnsi" w:cstheme="majorBidi"/>
      <w:i/>
      <w:iCs/>
      <w:color w:val="404040" w:themeColor="text1" w:themeTint="BF"/>
      <w:sz w:val="24"/>
      <w:szCs w:val="20"/>
    </w:rPr>
  </w:style>
  <w:style w:type="character" w:customStyle="1" w:styleId="Heading8Char">
    <w:name w:val="Heading 8 Char"/>
    <w:basedOn w:val="DefaultParagraphFont"/>
    <w:link w:val="Heading8"/>
    <w:uiPriority w:val="9"/>
    <w:semiHidden/>
    <w:rsid w:val="00A355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3557C"/>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157E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E80"/>
    <w:rPr>
      <w:rFonts w:ascii="Tahoma" w:eastAsia="Times New Roman" w:hAnsi="Tahoma" w:cs="Tahoma"/>
      <w:sz w:val="16"/>
      <w:szCs w:val="16"/>
    </w:rPr>
  </w:style>
  <w:style w:type="paragraph" w:customStyle="1" w:styleId="Insertparagraph">
    <w:name w:val="Insert paragraph"/>
    <w:basedOn w:val="Normal"/>
    <w:next w:val="StandardParagraph"/>
    <w:qFormat/>
    <w:rsid w:val="00FD7FBD"/>
    <w:pPr>
      <w:widowControl/>
      <w:tabs>
        <w:tab w:val="clear" w:pos="720"/>
        <w:tab w:val="clear" w:pos="1440"/>
        <w:tab w:val="clear" w:pos="2160"/>
        <w:tab w:val="clear" w:pos="2880"/>
        <w:tab w:val="clear" w:pos="4680"/>
        <w:tab w:val="clear" w:pos="5400"/>
        <w:tab w:val="clear" w:pos="9000"/>
      </w:tabs>
      <w:adjustRightInd/>
      <w:spacing w:before="360" w:after="360"/>
      <w:jc w:val="center"/>
      <w:textAlignment w:val="auto"/>
    </w:pPr>
    <w:rPr>
      <w:b/>
      <w:sz w:val="28"/>
    </w:rPr>
  </w:style>
  <w:style w:type="paragraph" w:customStyle="1" w:styleId="Standardparagraphbold">
    <w:name w:val="Standard paragraph bold"/>
    <w:basedOn w:val="StandardParagraph"/>
    <w:next w:val="StandardParagraph"/>
    <w:qFormat/>
    <w:rsid w:val="00C827FA"/>
    <w:rPr>
      <w:b/>
    </w:rPr>
  </w:style>
  <w:style w:type="paragraph" w:customStyle="1" w:styleId="Standardnumberbullettable">
    <w:name w:val="Standard number bullet table"/>
    <w:basedOn w:val="StandardNumberBullet"/>
    <w:qFormat/>
    <w:rsid w:val="00B6446A"/>
    <w:pPr>
      <w:ind w:left="318" w:hanging="318"/>
    </w:pPr>
  </w:style>
  <w:style w:type="paragraph" w:customStyle="1" w:styleId="Standardtablebullet">
    <w:name w:val="Standard table bullet"/>
    <w:basedOn w:val="Standardparatable"/>
    <w:qFormat/>
    <w:rsid w:val="00756D2F"/>
    <w:pPr>
      <w:numPr>
        <w:numId w:val="9"/>
      </w:numPr>
      <w:spacing w:before="60" w:after="60" w:line="240" w:lineRule="auto"/>
      <w:ind w:left="1108" w:hanging="357"/>
    </w:pPr>
  </w:style>
  <w:style w:type="paragraph" w:customStyle="1" w:styleId="Bullettable">
    <w:name w:val="Bullet table"/>
    <w:basedOn w:val="ListParagraph"/>
    <w:qFormat/>
    <w:rsid w:val="00DA3F75"/>
    <w:pPr>
      <w:numPr>
        <w:numId w:val="10"/>
      </w:numPr>
      <w:spacing w:before="60" w:after="60" w:line="240" w:lineRule="auto"/>
      <w:ind w:left="362" w:hanging="181"/>
    </w:pPr>
    <w:rPr>
      <w:sz w:val="20"/>
    </w:rPr>
  </w:style>
  <w:style w:type="character" w:styleId="CommentReference">
    <w:name w:val="annotation reference"/>
    <w:basedOn w:val="DefaultParagraphFont"/>
    <w:rsid w:val="00DA3F75"/>
    <w:rPr>
      <w:sz w:val="16"/>
      <w:szCs w:val="16"/>
    </w:rPr>
  </w:style>
  <w:style w:type="paragraph" w:styleId="CommentText">
    <w:name w:val="annotation text"/>
    <w:basedOn w:val="Normal"/>
    <w:link w:val="CommentTextChar"/>
    <w:rsid w:val="00DA3F75"/>
    <w:pPr>
      <w:spacing w:line="240" w:lineRule="auto"/>
    </w:pPr>
    <w:rPr>
      <w:sz w:val="20"/>
    </w:rPr>
  </w:style>
  <w:style w:type="character" w:customStyle="1" w:styleId="CommentTextChar">
    <w:name w:val="Comment Text Char"/>
    <w:basedOn w:val="DefaultParagraphFont"/>
    <w:link w:val="CommentText"/>
    <w:rsid w:val="00DA3F75"/>
    <w:rPr>
      <w:rFonts w:ascii="Arial" w:eastAsia="Times New Roman" w:hAnsi="Arial" w:cs="Times New Roman"/>
      <w:sz w:val="20"/>
      <w:szCs w:val="20"/>
    </w:rPr>
  </w:style>
  <w:style w:type="paragraph" w:customStyle="1" w:styleId="TableBullet">
    <w:name w:val="Table Bullet"/>
    <w:basedOn w:val="ListParagraph"/>
    <w:qFormat/>
    <w:rsid w:val="00DA3F75"/>
    <w:pPr>
      <w:numPr>
        <w:numId w:val="22"/>
      </w:numPr>
      <w:spacing w:before="60" w:after="60"/>
    </w:pPr>
    <w:rPr>
      <w:sz w:val="20"/>
    </w:rPr>
  </w:style>
  <w:style w:type="paragraph" w:customStyle="1" w:styleId="Standardparagraph0">
    <w:name w:val="Standard paragraph"/>
    <w:basedOn w:val="Normal"/>
    <w:qFormat/>
    <w:rsid w:val="00DA3F75"/>
    <w:pPr>
      <w:tabs>
        <w:tab w:val="clear" w:pos="9000"/>
        <w:tab w:val="right" w:pos="8460"/>
        <w:tab w:val="right" w:pos="8820"/>
      </w:tabs>
      <w:spacing w:after="240"/>
      <w:ind w:right="204"/>
      <w:jc w:val="left"/>
    </w:pPr>
  </w:style>
  <w:style w:type="paragraph" w:customStyle="1" w:styleId="Standardbullet">
    <w:name w:val="Standard bullet"/>
    <w:basedOn w:val="Normal"/>
    <w:qFormat/>
    <w:rsid w:val="00DA3F75"/>
    <w:pPr>
      <w:widowControl/>
      <w:numPr>
        <w:numId w:val="23"/>
      </w:numPr>
      <w:shd w:val="clear" w:color="auto" w:fill="FFFFFF"/>
      <w:tabs>
        <w:tab w:val="clear" w:pos="1440"/>
        <w:tab w:val="clear" w:pos="2160"/>
        <w:tab w:val="clear" w:pos="2880"/>
        <w:tab w:val="clear" w:pos="4680"/>
        <w:tab w:val="clear" w:pos="5400"/>
        <w:tab w:val="clear" w:pos="9000"/>
      </w:tabs>
      <w:adjustRightInd/>
      <w:spacing w:before="120" w:after="120"/>
      <w:ind w:left="714" w:hanging="357"/>
      <w:jc w:val="left"/>
      <w:textAlignment w:val="auto"/>
    </w:pPr>
    <w:rPr>
      <w:rFonts w:cs="Arial"/>
      <w:color w:val="000000"/>
      <w:szCs w:val="24"/>
      <w:lang w:eastAsia="en-GB"/>
    </w:rPr>
  </w:style>
  <w:style w:type="paragraph" w:customStyle="1" w:styleId="Standardheadingbold">
    <w:name w:val="Standard heading bold"/>
    <w:basedOn w:val="Standardparagraphbold"/>
    <w:next w:val="Standardparagraph0"/>
    <w:qFormat/>
    <w:rsid w:val="00603EA9"/>
    <w:rPr>
      <w:sz w:val="28"/>
    </w:rPr>
  </w:style>
  <w:style w:type="paragraph" w:styleId="TOC1">
    <w:name w:val="toc 1"/>
    <w:basedOn w:val="Normal"/>
    <w:next w:val="Normal"/>
    <w:autoRedefine/>
    <w:uiPriority w:val="39"/>
    <w:unhideWhenUsed/>
    <w:rsid w:val="0031252F"/>
    <w:pPr>
      <w:tabs>
        <w:tab w:val="clear" w:pos="720"/>
        <w:tab w:val="clear" w:pos="1440"/>
        <w:tab w:val="clear" w:pos="2160"/>
        <w:tab w:val="clear" w:pos="2880"/>
        <w:tab w:val="clear" w:pos="4680"/>
        <w:tab w:val="clear" w:pos="5400"/>
        <w:tab w:val="clear" w:pos="9000"/>
      </w:tabs>
      <w:spacing w:after="100"/>
    </w:pPr>
    <w:rPr>
      <w:b/>
      <w:sz w:val="28"/>
    </w:rPr>
  </w:style>
  <w:style w:type="paragraph" w:customStyle="1" w:styleId="SectionHeading">
    <w:name w:val="Section Heading"/>
    <w:basedOn w:val="Heading1"/>
    <w:next w:val="Heading1"/>
    <w:qFormat/>
    <w:rsid w:val="0031252F"/>
    <w:pPr>
      <w:numPr>
        <w:numId w:val="0"/>
      </w:numPr>
      <w:outlineLvl w:val="8"/>
    </w:pPr>
    <w:rPr>
      <w:color w:val="17365D" w:themeColor="text2" w:themeShade="BF"/>
      <w:sz w:val="32"/>
    </w:rPr>
  </w:style>
  <w:style w:type="paragraph" w:styleId="TOC2">
    <w:name w:val="toc 2"/>
    <w:basedOn w:val="Normal"/>
    <w:next w:val="Normal"/>
    <w:autoRedefine/>
    <w:uiPriority w:val="39"/>
    <w:unhideWhenUsed/>
    <w:rsid w:val="0031252F"/>
    <w:pPr>
      <w:tabs>
        <w:tab w:val="clear" w:pos="720"/>
        <w:tab w:val="clear" w:pos="1440"/>
        <w:tab w:val="clear" w:pos="2160"/>
        <w:tab w:val="clear" w:pos="2880"/>
        <w:tab w:val="clear" w:pos="4680"/>
        <w:tab w:val="clear" w:pos="5400"/>
        <w:tab w:val="clear" w:pos="9000"/>
      </w:tabs>
      <w:spacing w:after="100"/>
      <w:ind w:left="240"/>
    </w:pPr>
  </w:style>
  <w:style w:type="paragraph" w:styleId="TOC3">
    <w:name w:val="toc 3"/>
    <w:basedOn w:val="Normal"/>
    <w:next w:val="Normal"/>
    <w:autoRedefine/>
    <w:uiPriority w:val="39"/>
    <w:unhideWhenUsed/>
    <w:rsid w:val="0031252F"/>
    <w:pPr>
      <w:tabs>
        <w:tab w:val="clear" w:pos="720"/>
        <w:tab w:val="clear" w:pos="1440"/>
        <w:tab w:val="clear" w:pos="2160"/>
        <w:tab w:val="clear" w:pos="2880"/>
        <w:tab w:val="clear" w:pos="4680"/>
        <w:tab w:val="clear" w:pos="5400"/>
        <w:tab w:val="clear" w:pos="9000"/>
      </w:tabs>
      <w:spacing w:after="100"/>
      <w:ind w:left="480"/>
    </w:pPr>
  </w:style>
</w:styles>
</file>

<file path=word/webSettings.xml><?xml version="1.0" encoding="utf-8"?>
<w:webSettings xmlns:r="http://schemas.openxmlformats.org/officeDocument/2006/relationships" xmlns:w="http://schemas.openxmlformats.org/wordprocessingml/2006/main">
  <w:divs>
    <w:div w:id="24450834">
      <w:bodyDiv w:val="1"/>
      <w:marLeft w:val="0"/>
      <w:marRight w:val="0"/>
      <w:marTop w:val="0"/>
      <w:marBottom w:val="0"/>
      <w:divBdr>
        <w:top w:val="none" w:sz="0" w:space="0" w:color="auto"/>
        <w:left w:val="none" w:sz="0" w:space="0" w:color="auto"/>
        <w:bottom w:val="none" w:sz="0" w:space="0" w:color="auto"/>
        <w:right w:val="none" w:sz="0" w:space="0" w:color="auto"/>
      </w:divBdr>
    </w:div>
    <w:div w:id="385952184">
      <w:bodyDiv w:val="1"/>
      <w:marLeft w:val="0"/>
      <w:marRight w:val="0"/>
      <w:marTop w:val="0"/>
      <w:marBottom w:val="0"/>
      <w:divBdr>
        <w:top w:val="none" w:sz="0" w:space="0" w:color="auto"/>
        <w:left w:val="none" w:sz="0" w:space="0" w:color="auto"/>
        <w:bottom w:val="none" w:sz="0" w:space="0" w:color="auto"/>
        <w:right w:val="none" w:sz="0" w:space="0" w:color="auto"/>
      </w:divBdr>
    </w:div>
    <w:div w:id="465390806">
      <w:bodyDiv w:val="1"/>
      <w:marLeft w:val="0"/>
      <w:marRight w:val="0"/>
      <w:marTop w:val="0"/>
      <w:marBottom w:val="0"/>
      <w:divBdr>
        <w:top w:val="none" w:sz="0" w:space="0" w:color="auto"/>
        <w:left w:val="none" w:sz="0" w:space="0" w:color="auto"/>
        <w:bottom w:val="none" w:sz="0" w:space="0" w:color="auto"/>
        <w:right w:val="none" w:sz="0" w:space="0" w:color="auto"/>
      </w:divBdr>
    </w:div>
    <w:div w:id="477383191">
      <w:bodyDiv w:val="1"/>
      <w:marLeft w:val="0"/>
      <w:marRight w:val="0"/>
      <w:marTop w:val="0"/>
      <w:marBottom w:val="0"/>
      <w:divBdr>
        <w:top w:val="none" w:sz="0" w:space="0" w:color="auto"/>
        <w:left w:val="none" w:sz="0" w:space="0" w:color="auto"/>
        <w:bottom w:val="none" w:sz="0" w:space="0" w:color="auto"/>
        <w:right w:val="none" w:sz="0" w:space="0" w:color="auto"/>
      </w:divBdr>
    </w:div>
    <w:div w:id="537086811">
      <w:bodyDiv w:val="1"/>
      <w:marLeft w:val="0"/>
      <w:marRight w:val="0"/>
      <w:marTop w:val="0"/>
      <w:marBottom w:val="0"/>
      <w:divBdr>
        <w:top w:val="none" w:sz="0" w:space="0" w:color="auto"/>
        <w:left w:val="none" w:sz="0" w:space="0" w:color="auto"/>
        <w:bottom w:val="none" w:sz="0" w:space="0" w:color="auto"/>
        <w:right w:val="none" w:sz="0" w:space="0" w:color="auto"/>
      </w:divBdr>
    </w:div>
    <w:div w:id="683552319">
      <w:bodyDiv w:val="1"/>
      <w:marLeft w:val="0"/>
      <w:marRight w:val="0"/>
      <w:marTop w:val="0"/>
      <w:marBottom w:val="0"/>
      <w:divBdr>
        <w:top w:val="none" w:sz="0" w:space="0" w:color="auto"/>
        <w:left w:val="none" w:sz="0" w:space="0" w:color="auto"/>
        <w:bottom w:val="none" w:sz="0" w:space="0" w:color="auto"/>
        <w:right w:val="none" w:sz="0" w:space="0" w:color="auto"/>
      </w:divBdr>
    </w:div>
    <w:div w:id="744183276">
      <w:bodyDiv w:val="1"/>
      <w:marLeft w:val="0"/>
      <w:marRight w:val="0"/>
      <w:marTop w:val="0"/>
      <w:marBottom w:val="0"/>
      <w:divBdr>
        <w:top w:val="none" w:sz="0" w:space="0" w:color="auto"/>
        <w:left w:val="none" w:sz="0" w:space="0" w:color="auto"/>
        <w:bottom w:val="none" w:sz="0" w:space="0" w:color="auto"/>
        <w:right w:val="none" w:sz="0" w:space="0" w:color="auto"/>
      </w:divBdr>
    </w:div>
    <w:div w:id="821971700">
      <w:bodyDiv w:val="1"/>
      <w:marLeft w:val="0"/>
      <w:marRight w:val="0"/>
      <w:marTop w:val="0"/>
      <w:marBottom w:val="0"/>
      <w:divBdr>
        <w:top w:val="none" w:sz="0" w:space="0" w:color="auto"/>
        <w:left w:val="none" w:sz="0" w:space="0" w:color="auto"/>
        <w:bottom w:val="none" w:sz="0" w:space="0" w:color="auto"/>
        <w:right w:val="none" w:sz="0" w:space="0" w:color="auto"/>
      </w:divBdr>
    </w:div>
    <w:div w:id="1193496190">
      <w:bodyDiv w:val="1"/>
      <w:marLeft w:val="0"/>
      <w:marRight w:val="0"/>
      <w:marTop w:val="0"/>
      <w:marBottom w:val="0"/>
      <w:divBdr>
        <w:top w:val="none" w:sz="0" w:space="0" w:color="auto"/>
        <w:left w:val="none" w:sz="0" w:space="0" w:color="auto"/>
        <w:bottom w:val="none" w:sz="0" w:space="0" w:color="auto"/>
        <w:right w:val="none" w:sz="0" w:space="0" w:color="auto"/>
      </w:divBdr>
    </w:div>
    <w:div w:id="1261794886">
      <w:bodyDiv w:val="1"/>
      <w:marLeft w:val="0"/>
      <w:marRight w:val="0"/>
      <w:marTop w:val="0"/>
      <w:marBottom w:val="0"/>
      <w:divBdr>
        <w:top w:val="none" w:sz="0" w:space="0" w:color="auto"/>
        <w:left w:val="none" w:sz="0" w:space="0" w:color="auto"/>
        <w:bottom w:val="none" w:sz="0" w:space="0" w:color="auto"/>
        <w:right w:val="none" w:sz="0" w:space="0" w:color="auto"/>
      </w:divBdr>
    </w:div>
    <w:div w:id="1392803152">
      <w:bodyDiv w:val="1"/>
      <w:marLeft w:val="0"/>
      <w:marRight w:val="0"/>
      <w:marTop w:val="0"/>
      <w:marBottom w:val="0"/>
      <w:divBdr>
        <w:top w:val="none" w:sz="0" w:space="0" w:color="auto"/>
        <w:left w:val="none" w:sz="0" w:space="0" w:color="auto"/>
        <w:bottom w:val="none" w:sz="0" w:space="0" w:color="auto"/>
        <w:right w:val="none" w:sz="0" w:space="0" w:color="auto"/>
      </w:divBdr>
    </w:div>
    <w:div w:id="1622423279">
      <w:bodyDiv w:val="1"/>
      <w:marLeft w:val="0"/>
      <w:marRight w:val="0"/>
      <w:marTop w:val="0"/>
      <w:marBottom w:val="0"/>
      <w:divBdr>
        <w:top w:val="none" w:sz="0" w:space="0" w:color="auto"/>
        <w:left w:val="none" w:sz="0" w:space="0" w:color="auto"/>
        <w:bottom w:val="none" w:sz="0" w:space="0" w:color="auto"/>
        <w:right w:val="none" w:sz="0" w:space="0" w:color="auto"/>
      </w:divBdr>
    </w:div>
    <w:div w:id="1728911317">
      <w:bodyDiv w:val="1"/>
      <w:marLeft w:val="0"/>
      <w:marRight w:val="0"/>
      <w:marTop w:val="0"/>
      <w:marBottom w:val="0"/>
      <w:divBdr>
        <w:top w:val="none" w:sz="0" w:space="0" w:color="auto"/>
        <w:left w:val="none" w:sz="0" w:space="0" w:color="auto"/>
        <w:bottom w:val="none" w:sz="0" w:space="0" w:color="auto"/>
        <w:right w:val="none" w:sz="0" w:space="0" w:color="auto"/>
      </w:divBdr>
    </w:div>
    <w:div w:id="1747873828">
      <w:bodyDiv w:val="1"/>
      <w:marLeft w:val="0"/>
      <w:marRight w:val="0"/>
      <w:marTop w:val="0"/>
      <w:marBottom w:val="0"/>
      <w:divBdr>
        <w:top w:val="none" w:sz="0" w:space="0" w:color="auto"/>
        <w:left w:val="none" w:sz="0" w:space="0" w:color="auto"/>
        <w:bottom w:val="none" w:sz="0" w:space="0" w:color="auto"/>
        <w:right w:val="none" w:sz="0" w:space="0" w:color="auto"/>
      </w:divBdr>
    </w:div>
    <w:div w:id="1786924270">
      <w:bodyDiv w:val="1"/>
      <w:marLeft w:val="0"/>
      <w:marRight w:val="0"/>
      <w:marTop w:val="0"/>
      <w:marBottom w:val="0"/>
      <w:divBdr>
        <w:top w:val="none" w:sz="0" w:space="0" w:color="auto"/>
        <w:left w:val="none" w:sz="0" w:space="0" w:color="auto"/>
        <w:bottom w:val="none" w:sz="0" w:space="0" w:color="auto"/>
        <w:right w:val="none" w:sz="0" w:space="0" w:color="auto"/>
      </w:divBdr>
    </w:div>
    <w:div w:id="1918322385">
      <w:bodyDiv w:val="1"/>
      <w:marLeft w:val="0"/>
      <w:marRight w:val="0"/>
      <w:marTop w:val="0"/>
      <w:marBottom w:val="0"/>
      <w:divBdr>
        <w:top w:val="none" w:sz="0" w:space="0" w:color="auto"/>
        <w:left w:val="none" w:sz="0" w:space="0" w:color="auto"/>
        <w:bottom w:val="none" w:sz="0" w:space="0" w:color="auto"/>
        <w:right w:val="none" w:sz="0" w:space="0" w:color="auto"/>
      </w:divBdr>
    </w:div>
    <w:div w:id="1929196761">
      <w:bodyDiv w:val="1"/>
      <w:marLeft w:val="0"/>
      <w:marRight w:val="0"/>
      <w:marTop w:val="0"/>
      <w:marBottom w:val="0"/>
      <w:divBdr>
        <w:top w:val="none" w:sz="0" w:space="0" w:color="auto"/>
        <w:left w:val="none" w:sz="0" w:space="0" w:color="auto"/>
        <w:bottom w:val="none" w:sz="0" w:space="0" w:color="auto"/>
        <w:right w:val="none" w:sz="0" w:space="0" w:color="auto"/>
      </w:divBdr>
    </w:div>
    <w:div w:id="200936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0A928C-79D3-4CB3-AED7-B4980819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63</Pages>
  <Words>11531</Words>
  <Characters>65731</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77108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Paulmo01</dc:creator>
  <cp:lastModifiedBy>Paulmo01</cp:lastModifiedBy>
  <cp:revision>13</cp:revision>
  <cp:lastPrinted>2015-04-01T16:18:00Z</cp:lastPrinted>
  <dcterms:created xsi:type="dcterms:W3CDTF">2017-01-26T15:00:00Z</dcterms:created>
  <dcterms:modified xsi:type="dcterms:W3CDTF">2017-02-16T14:13:00Z</dcterms:modified>
</cp:coreProperties>
</file>